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614D0" w14:textId="4099A097" w:rsidR="005C2825" w:rsidRDefault="00C94924" w:rsidP="00240520">
      <w:pPr>
        <w:spacing w:line="360" w:lineRule="auto"/>
        <w:rPr>
          <w:rFonts w:ascii="Tahoma" w:hAnsi="Tahoma" w:cs="Tahoma"/>
          <w:b/>
          <w:bCs/>
          <w:sz w:val="28"/>
          <w:szCs w:val="28"/>
          <w:u w:val="single"/>
        </w:rPr>
      </w:pPr>
      <w:r w:rsidRPr="00C94924">
        <w:rPr>
          <w:rFonts w:ascii="Tahoma" w:hAnsi="Tahoma" w:cs="Tahoma"/>
          <w:b/>
          <w:bCs/>
          <w:sz w:val="28"/>
          <w:szCs w:val="28"/>
          <w:u w:val="single"/>
        </w:rPr>
        <w:t>LAS LEGÍTIMAS EN EL CÓDIGO CIVIL ESPAÑOL: ¿REFORMA O SUPRESIÓN?</w:t>
      </w:r>
    </w:p>
    <w:p w14:paraId="1883BB6E" w14:textId="77777777" w:rsidR="00C94924" w:rsidRDefault="00C94924" w:rsidP="00240520">
      <w:pPr>
        <w:spacing w:line="360" w:lineRule="auto"/>
        <w:rPr>
          <w:rFonts w:ascii="Tahoma" w:hAnsi="Tahoma" w:cs="Tahoma"/>
          <w:b/>
          <w:bCs/>
          <w:sz w:val="28"/>
          <w:szCs w:val="28"/>
          <w:u w:val="single"/>
        </w:rPr>
      </w:pPr>
    </w:p>
    <w:p w14:paraId="4F0EE1C8" w14:textId="4FFDBA30" w:rsidR="00C94924" w:rsidRDefault="00C94924" w:rsidP="00240520">
      <w:pPr>
        <w:spacing w:line="360" w:lineRule="auto"/>
        <w:jc w:val="both"/>
        <w:rPr>
          <w:rFonts w:ascii="Tahoma" w:hAnsi="Tahoma" w:cs="Tahoma"/>
          <w:i/>
          <w:iCs/>
        </w:rPr>
      </w:pPr>
      <w:r w:rsidRPr="00C94924">
        <w:rPr>
          <w:rFonts w:ascii="Tahoma" w:hAnsi="Tahoma" w:cs="Tahoma"/>
          <w:b/>
          <w:bCs/>
        </w:rPr>
        <w:t xml:space="preserve">  </w:t>
      </w:r>
      <w:r>
        <w:rPr>
          <w:rFonts w:ascii="Tahoma" w:hAnsi="Tahoma" w:cs="Tahoma"/>
        </w:rPr>
        <w:t xml:space="preserve">  </w:t>
      </w:r>
      <w:r w:rsidRPr="00C94924">
        <w:rPr>
          <w:rFonts w:ascii="Tahoma" w:hAnsi="Tahoma" w:cs="Tahoma"/>
          <w:i/>
          <w:iCs/>
        </w:rPr>
        <w:t>Discurso de ingreso como Académico de Número de la Real Academia Asturiana de Jurisprudencia del Ilmo. Sr. D. José Luis Fernández Lozano, ex Decano del Ilustre Colegio Notarial de Asturias, pronunciado en sesión pública y solemne en el Salón de Actos del Ilustre Colegio de Abogados de Oviedo el día 24 de junio de 2024.</w:t>
      </w:r>
    </w:p>
    <w:p w14:paraId="7132E108" w14:textId="77777777" w:rsidR="00C94924" w:rsidRDefault="00C94924" w:rsidP="00240520">
      <w:pPr>
        <w:spacing w:line="360" w:lineRule="auto"/>
        <w:jc w:val="both"/>
        <w:rPr>
          <w:rFonts w:ascii="Tahoma" w:hAnsi="Tahoma" w:cs="Tahoma"/>
          <w:i/>
          <w:iCs/>
        </w:rPr>
      </w:pPr>
    </w:p>
    <w:p w14:paraId="5A489A70" w14:textId="79EDC98D" w:rsidR="00C94924" w:rsidRDefault="00C94924" w:rsidP="00240520">
      <w:pPr>
        <w:spacing w:line="360" w:lineRule="auto"/>
        <w:jc w:val="both"/>
        <w:rPr>
          <w:rFonts w:ascii="Tahoma" w:hAnsi="Tahoma" w:cs="Tahoma"/>
          <w:sz w:val="24"/>
          <w:szCs w:val="24"/>
        </w:rPr>
      </w:pPr>
      <w:r>
        <w:rPr>
          <w:rFonts w:ascii="Tahoma" w:hAnsi="Tahoma" w:cs="Tahoma"/>
          <w:sz w:val="24"/>
          <w:szCs w:val="24"/>
        </w:rPr>
        <w:tab/>
        <w:t xml:space="preserve">Excelentísimos e Ilustrísimos </w:t>
      </w:r>
      <w:r w:rsidR="00524DF3">
        <w:rPr>
          <w:rFonts w:ascii="Tahoma" w:hAnsi="Tahoma" w:cs="Tahoma"/>
          <w:sz w:val="24"/>
          <w:szCs w:val="24"/>
        </w:rPr>
        <w:t>presidente</w:t>
      </w:r>
      <w:r>
        <w:rPr>
          <w:rFonts w:ascii="Tahoma" w:hAnsi="Tahoma" w:cs="Tahoma"/>
          <w:sz w:val="24"/>
          <w:szCs w:val="24"/>
        </w:rPr>
        <w:t xml:space="preserve">, </w:t>
      </w:r>
      <w:r w:rsidR="00264727">
        <w:rPr>
          <w:rFonts w:ascii="Tahoma" w:hAnsi="Tahoma" w:cs="Tahoma"/>
          <w:sz w:val="24"/>
          <w:szCs w:val="24"/>
        </w:rPr>
        <w:t>A</w:t>
      </w:r>
      <w:r>
        <w:rPr>
          <w:rFonts w:ascii="Tahoma" w:hAnsi="Tahoma" w:cs="Tahoma"/>
          <w:sz w:val="24"/>
          <w:szCs w:val="24"/>
        </w:rPr>
        <w:t xml:space="preserve">cadémicos, </w:t>
      </w:r>
      <w:r w:rsidR="00BB1EF7">
        <w:rPr>
          <w:rFonts w:ascii="Tahoma" w:hAnsi="Tahoma" w:cs="Tahoma"/>
          <w:sz w:val="24"/>
          <w:szCs w:val="24"/>
        </w:rPr>
        <w:t>a</w:t>
      </w:r>
      <w:r>
        <w:rPr>
          <w:rFonts w:ascii="Tahoma" w:hAnsi="Tahoma" w:cs="Tahoma"/>
          <w:sz w:val="24"/>
          <w:szCs w:val="24"/>
        </w:rPr>
        <w:t>utoridades, Señoras, Señores, amigas y amigos.</w:t>
      </w:r>
    </w:p>
    <w:p w14:paraId="2AC1DE3D" w14:textId="69D594F7" w:rsidR="00C94924" w:rsidRDefault="00C94924" w:rsidP="00240520">
      <w:pPr>
        <w:spacing w:line="360" w:lineRule="auto"/>
        <w:jc w:val="both"/>
        <w:rPr>
          <w:rFonts w:ascii="Tahoma" w:hAnsi="Tahoma" w:cs="Tahoma"/>
          <w:sz w:val="24"/>
          <w:szCs w:val="24"/>
        </w:rPr>
      </w:pPr>
      <w:r>
        <w:rPr>
          <w:rFonts w:ascii="Tahoma" w:hAnsi="Tahoma" w:cs="Tahoma"/>
          <w:sz w:val="24"/>
          <w:szCs w:val="24"/>
        </w:rPr>
        <w:tab/>
      </w:r>
      <w:r w:rsidR="003C3FE6" w:rsidRPr="005A2200">
        <w:rPr>
          <w:rFonts w:ascii="Tahoma" w:hAnsi="Tahoma" w:cs="Tahoma"/>
          <w:i/>
          <w:iCs/>
          <w:sz w:val="24"/>
          <w:szCs w:val="24"/>
        </w:rPr>
        <w:t>Es para mí un honor</w:t>
      </w:r>
      <w:r w:rsidR="003C3FE6">
        <w:rPr>
          <w:rFonts w:ascii="Tahoma" w:hAnsi="Tahoma" w:cs="Tahoma"/>
          <w:sz w:val="24"/>
          <w:szCs w:val="24"/>
        </w:rPr>
        <w:t xml:space="preserve"> haber sido admitido como Académico de número en la Real Academia Asturiana de Jurisprudencia, prestigiosa institución que lleva más de cuarenta años promoviendo el debate y la investigación en los distintos ámbitos del Derecho, a través de seminarios, conferencias, cursos y publicaciones</w:t>
      </w:r>
      <w:r w:rsidR="00652881">
        <w:rPr>
          <w:rFonts w:ascii="Tahoma" w:hAnsi="Tahoma" w:cs="Tahoma"/>
          <w:sz w:val="24"/>
          <w:szCs w:val="24"/>
        </w:rPr>
        <w:t>, entre las que destaca su Revista Jurídica de Asturias (que ya va por el número 46), y en la que vienen escribiendo</w:t>
      </w:r>
      <w:r w:rsidR="00F674D4">
        <w:rPr>
          <w:rFonts w:ascii="Tahoma" w:hAnsi="Tahoma" w:cs="Tahoma"/>
          <w:sz w:val="24"/>
          <w:szCs w:val="24"/>
        </w:rPr>
        <w:t xml:space="preserve"> eximios</w:t>
      </w:r>
      <w:r w:rsidR="00652881">
        <w:rPr>
          <w:rFonts w:ascii="Tahoma" w:hAnsi="Tahoma" w:cs="Tahoma"/>
          <w:sz w:val="24"/>
          <w:szCs w:val="24"/>
        </w:rPr>
        <w:t xml:space="preserve"> juristas.</w:t>
      </w:r>
    </w:p>
    <w:p w14:paraId="0F920E51" w14:textId="152C5EBE" w:rsidR="00652881" w:rsidRDefault="00652881" w:rsidP="00240520">
      <w:pPr>
        <w:spacing w:line="360" w:lineRule="auto"/>
        <w:jc w:val="both"/>
        <w:rPr>
          <w:rFonts w:ascii="Tahoma" w:hAnsi="Tahoma" w:cs="Tahoma"/>
          <w:sz w:val="24"/>
          <w:szCs w:val="24"/>
        </w:rPr>
      </w:pPr>
      <w:r>
        <w:rPr>
          <w:rFonts w:ascii="Tahoma" w:hAnsi="Tahoma" w:cs="Tahoma"/>
          <w:sz w:val="24"/>
          <w:szCs w:val="24"/>
        </w:rPr>
        <w:tab/>
      </w:r>
      <w:r w:rsidR="00366581" w:rsidRPr="005A2200">
        <w:rPr>
          <w:rFonts w:ascii="Tahoma" w:hAnsi="Tahoma" w:cs="Tahoma"/>
          <w:i/>
          <w:iCs/>
          <w:sz w:val="24"/>
          <w:szCs w:val="24"/>
        </w:rPr>
        <w:t>He de manifestar, por ello, mi a</w:t>
      </w:r>
      <w:r w:rsidRPr="005A2200">
        <w:rPr>
          <w:rFonts w:ascii="Tahoma" w:hAnsi="Tahoma" w:cs="Tahoma"/>
          <w:i/>
          <w:iCs/>
          <w:sz w:val="24"/>
          <w:szCs w:val="24"/>
        </w:rPr>
        <w:t>gradecimiento</w:t>
      </w:r>
      <w:r>
        <w:rPr>
          <w:rFonts w:ascii="Tahoma" w:hAnsi="Tahoma" w:cs="Tahoma"/>
          <w:sz w:val="24"/>
          <w:szCs w:val="24"/>
        </w:rPr>
        <w:t xml:space="preserve"> al presidente de la Academia, Dr. Tolívar Alas, y a los Académicos que han refrendado mi candidatura; en particular, a quienes han sido avalistas de ésta, D. José Antonio Caicoya Cores, D. Esteban Fernández-Alu Mortera, anteriores Decanos del Ilustre Colegio Notarial de Asturias, y, sobre todo, muy especialmente, a la actual Decana, Doña María-Isabel Valdés-Solís Cecchini</w:t>
      </w:r>
      <w:r w:rsidR="00366581">
        <w:rPr>
          <w:rFonts w:ascii="Tahoma" w:hAnsi="Tahoma" w:cs="Tahoma"/>
          <w:sz w:val="24"/>
          <w:szCs w:val="24"/>
        </w:rPr>
        <w:t>, quien además me ha honrado aceptando</w:t>
      </w:r>
      <w:r w:rsidR="00264727">
        <w:rPr>
          <w:rFonts w:ascii="Tahoma" w:hAnsi="Tahoma" w:cs="Tahoma"/>
          <w:sz w:val="24"/>
          <w:szCs w:val="24"/>
        </w:rPr>
        <w:t xml:space="preserve"> realizar</w:t>
      </w:r>
      <w:r w:rsidR="00366581">
        <w:rPr>
          <w:rFonts w:ascii="Tahoma" w:hAnsi="Tahoma" w:cs="Tahoma"/>
          <w:sz w:val="24"/>
          <w:szCs w:val="24"/>
        </w:rPr>
        <w:t xml:space="preserve"> la contestación al que va a ser mi discurso</w:t>
      </w:r>
      <w:r w:rsidR="00264727">
        <w:rPr>
          <w:rFonts w:ascii="Tahoma" w:hAnsi="Tahoma" w:cs="Tahoma"/>
          <w:sz w:val="24"/>
          <w:szCs w:val="24"/>
        </w:rPr>
        <w:t xml:space="preserve"> de ingreso</w:t>
      </w:r>
      <w:r>
        <w:rPr>
          <w:rFonts w:ascii="Tahoma" w:hAnsi="Tahoma" w:cs="Tahoma"/>
          <w:sz w:val="24"/>
          <w:szCs w:val="24"/>
        </w:rPr>
        <w:t>.</w:t>
      </w:r>
    </w:p>
    <w:p w14:paraId="66A9593E" w14:textId="7FD43E41" w:rsidR="00366581" w:rsidRDefault="00366581" w:rsidP="00240520">
      <w:pPr>
        <w:spacing w:line="360" w:lineRule="auto"/>
        <w:jc w:val="both"/>
        <w:rPr>
          <w:rFonts w:ascii="Tahoma" w:hAnsi="Tahoma" w:cs="Tahoma"/>
          <w:sz w:val="24"/>
          <w:szCs w:val="24"/>
        </w:rPr>
      </w:pPr>
      <w:r>
        <w:rPr>
          <w:rFonts w:ascii="Tahoma" w:hAnsi="Tahoma" w:cs="Tahoma"/>
          <w:sz w:val="24"/>
          <w:szCs w:val="24"/>
        </w:rPr>
        <w:tab/>
        <w:t xml:space="preserve">Concluyo este proemio de agradecimientos, como no puede ser de otro modo, reconociendo el </w:t>
      </w:r>
      <w:r w:rsidR="00264727" w:rsidRPr="005A2200">
        <w:rPr>
          <w:rFonts w:ascii="Tahoma" w:hAnsi="Tahoma" w:cs="Tahoma"/>
          <w:i/>
          <w:iCs/>
          <w:sz w:val="24"/>
          <w:szCs w:val="24"/>
        </w:rPr>
        <w:t xml:space="preserve">importantísimo </w:t>
      </w:r>
      <w:r w:rsidRPr="005A2200">
        <w:rPr>
          <w:rFonts w:ascii="Tahoma" w:hAnsi="Tahoma" w:cs="Tahoma"/>
          <w:i/>
          <w:iCs/>
          <w:sz w:val="24"/>
          <w:szCs w:val="24"/>
        </w:rPr>
        <w:t>apoyo de mi familia</w:t>
      </w:r>
      <w:r>
        <w:rPr>
          <w:rFonts w:ascii="Tahoma" w:hAnsi="Tahoma" w:cs="Tahoma"/>
          <w:sz w:val="24"/>
          <w:szCs w:val="24"/>
        </w:rPr>
        <w:t xml:space="preserve">, sin </w:t>
      </w:r>
      <w:r w:rsidR="00EB2709">
        <w:rPr>
          <w:rFonts w:ascii="Tahoma" w:hAnsi="Tahoma" w:cs="Tahoma"/>
          <w:sz w:val="24"/>
          <w:szCs w:val="24"/>
        </w:rPr>
        <w:t>el</w:t>
      </w:r>
      <w:r>
        <w:rPr>
          <w:rFonts w:ascii="Tahoma" w:hAnsi="Tahoma" w:cs="Tahoma"/>
          <w:sz w:val="24"/>
          <w:szCs w:val="24"/>
        </w:rPr>
        <w:t xml:space="preserve"> cual no sería posible el intenso desarrollo de mis actividades jurídicas</w:t>
      </w:r>
      <w:r w:rsidR="006E23F5">
        <w:rPr>
          <w:rFonts w:ascii="Tahoma" w:hAnsi="Tahoma" w:cs="Tahoma"/>
          <w:sz w:val="24"/>
          <w:szCs w:val="24"/>
        </w:rPr>
        <w:t>.</w:t>
      </w:r>
    </w:p>
    <w:p w14:paraId="0AA0E7A4" w14:textId="4EF14A7B" w:rsidR="00366581" w:rsidRDefault="00366581" w:rsidP="00240520">
      <w:pPr>
        <w:spacing w:line="360" w:lineRule="auto"/>
        <w:jc w:val="both"/>
        <w:rPr>
          <w:rFonts w:ascii="Tahoma" w:hAnsi="Tahoma" w:cs="Tahoma"/>
          <w:sz w:val="24"/>
          <w:szCs w:val="24"/>
        </w:rPr>
      </w:pPr>
      <w:r>
        <w:rPr>
          <w:rFonts w:ascii="Tahoma" w:hAnsi="Tahoma" w:cs="Tahoma"/>
          <w:sz w:val="24"/>
          <w:szCs w:val="24"/>
        </w:rPr>
        <w:t xml:space="preserve">           A todos, compañeras y compañeros notarios, autoridades, amigas y amigos que </w:t>
      </w:r>
      <w:r w:rsidR="006E23F5">
        <w:rPr>
          <w:rFonts w:ascii="Tahoma" w:hAnsi="Tahoma" w:cs="Tahoma"/>
          <w:sz w:val="24"/>
          <w:szCs w:val="24"/>
        </w:rPr>
        <w:t xml:space="preserve">han hecho el esfuerzo de estar presentes hoy en este solemne acto: </w:t>
      </w:r>
      <w:r w:rsidR="006E23F5" w:rsidRPr="005A2200">
        <w:rPr>
          <w:rFonts w:ascii="Tahoma" w:hAnsi="Tahoma" w:cs="Tahoma"/>
          <w:i/>
          <w:iCs/>
          <w:sz w:val="24"/>
          <w:szCs w:val="24"/>
        </w:rPr>
        <w:t>mi más profundo y sincero agradecimiento</w:t>
      </w:r>
      <w:r w:rsidR="006E23F5">
        <w:rPr>
          <w:rFonts w:ascii="Tahoma" w:hAnsi="Tahoma" w:cs="Tahoma"/>
          <w:sz w:val="24"/>
          <w:szCs w:val="24"/>
        </w:rPr>
        <w:t>.</w:t>
      </w:r>
    </w:p>
    <w:p w14:paraId="3B0F5CFA" w14:textId="77777777" w:rsidR="00264727" w:rsidRDefault="00264727" w:rsidP="00240520">
      <w:pPr>
        <w:spacing w:line="360" w:lineRule="auto"/>
        <w:jc w:val="both"/>
        <w:rPr>
          <w:rFonts w:ascii="Tahoma" w:hAnsi="Tahoma" w:cs="Tahoma"/>
          <w:sz w:val="24"/>
          <w:szCs w:val="24"/>
        </w:rPr>
      </w:pPr>
    </w:p>
    <w:p w14:paraId="6D4CC1E6" w14:textId="23E6D57B" w:rsidR="00524DF3" w:rsidRPr="00524DF3" w:rsidRDefault="00524DF3" w:rsidP="00524DF3">
      <w:pPr>
        <w:pStyle w:val="Prrafodelista"/>
        <w:numPr>
          <w:ilvl w:val="0"/>
          <w:numId w:val="4"/>
        </w:numPr>
        <w:spacing w:line="360" w:lineRule="auto"/>
        <w:jc w:val="both"/>
        <w:rPr>
          <w:rFonts w:ascii="Tahoma" w:hAnsi="Tahoma" w:cs="Tahoma"/>
          <w:b/>
          <w:bCs/>
          <w:sz w:val="24"/>
          <w:szCs w:val="24"/>
        </w:rPr>
      </w:pPr>
      <w:r w:rsidRPr="00524DF3">
        <w:rPr>
          <w:rFonts w:ascii="Tahoma" w:hAnsi="Tahoma" w:cs="Tahoma"/>
          <w:b/>
          <w:bCs/>
          <w:sz w:val="24"/>
          <w:szCs w:val="24"/>
        </w:rPr>
        <w:t>¿Por qué este tema y no otro?</w:t>
      </w:r>
      <w:r w:rsidR="006E23F5" w:rsidRPr="00524DF3">
        <w:rPr>
          <w:rFonts w:ascii="Tahoma" w:hAnsi="Tahoma" w:cs="Tahoma"/>
          <w:b/>
          <w:bCs/>
          <w:sz w:val="24"/>
          <w:szCs w:val="24"/>
        </w:rPr>
        <w:tab/>
      </w:r>
    </w:p>
    <w:p w14:paraId="31C7CEEA" w14:textId="12A79B4A" w:rsidR="00BB1EF7" w:rsidRDefault="00BB1EF7" w:rsidP="00524DF3">
      <w:pPr>
        <w:spacing w:line="360" w:lineRule="auto"/>
        <w:ind w:firstLine="705"/>
        <w:jc w:val="both"/>
        <w:rPr>
          <w:rFonts w:ascii="Tahoma" w:hAnsi="Tahoma" w:cs="Tahoma"/>
          <w:sz w:val="24"/>
          <w:szCs w:val="24"/>
        </w:rPr>
      </w:pPr>
      <w:r>
        <w:rPr>
          <w:rFonts w:ascii="Tahoma" w:hAnsi="Tahoma" w:cs="Tahoma"/>
          <w:sz w:val="24"/>
          <w:szCs w:val="24"/>
        </w:rPr>
        <w:t>He elegido e</w:t>
      </w:r>
      <w:r w:rsidR="006E23F5">
        <w:rPr>
          <w:rFonts w:ascii="Tahoma" w:hAnsi="Tahoma" w:cs="Tahoma"/>
          <w:sz w:val="24"/>
          <w:szCs w:val="24"/>
        </w:rPr>
        <w:t>l tema sobre el que versa mi discurso (“las legítimas en el Código Civil español</w:t>
      </w:r>
      <w:r w:rsidR="005A2200">
        <w:rPr>
          <w:rFonts w:ascii="Tahoma" w:hAnsi="Tahoma" w:cs="Tahoma"/>
          <w:sz w:val="24"/>
          <w:szCs w:val="24"/>
        </w:rPr>
        <w:t>: ¿reforma o supresión?</w:t>
      </w:r>
      <w:r w:rsidR="006E23F5">
        <w:rPr>
          <w:rFonts w:ascii="Tahoma" w:hAnsi="Tahoma" w:cs="Tahoma"/>
          <w:sz w:val="24"/>
          <w:szCs w:val="24"/>
        </w:rPr>
        <w:t xml:space="preserve">), después de barajar y descartar, finalmente, otros varios asuntos, por ser </w:t>
      </w:r>
      <w:r w:rsidRPr="005A2200">
        <w:rPr>
          <w:rFonts w:ascii="Tahoma" w:hAnsi="Tahoma" w:cs="Tahoma"/>
          <w:i/>
          <w:iCs/>
          <w:sz w:val="24"/>
          <w:szCs w:val="24"/>
        </w:rPr>
        <w:t xml:space="preserve">vivo reflejo de </w:t>
      </w:r>
      <w:r w:rsidR="006E23F5" w:rsidRPr="005A2200">
        <w:rPr>
          <w:rFonts w:ascii="Tahoma" w:hAnsi="Tahoma" w:cs="Tahoma"/>
          <w:i/>
          <w:iCs/>
          <w:sz w:val="24"/>
          <w:szCs w:val="24"/>
        </w:rPr>
        <w:t xml:space="preserve">una </w:t>
      </w:r>
      <w:r w:rsidRPr="005A2200">
        <w:rPr>
          <w:rFonts w:ascii="Tahoma" w:hAnsi="Tahoma" w:cs="Tahoma"/>
          <w:i/>
          <w:iCs/>
          <w:sz w:val="24"/>
          <w:szCs w:val="24"/>
        </w:rPr>
        <w:t xml:space="preserve">honda </w:t>
      </w:r>
      <w:r w:rsidR="006E23F5" w:rsidRPr="005A2200">
        <w:rPr>
          <w:rFonts w:ascii="Tahoma" w:hAnsi="Tahoma" w:cs="Tahoma"/>
          <w:i/>
          <w:iCs/>
          <w:sz w:val="24"/>
          <w:szCs w:val="24"/>
        </w:rPr>
        <w:t>preocupación del colectivo notarial</w:t>
      </w:r>
      <w:r w:rsidR="006E23F5">
        <w:rPr>
          <w:rFonts w:ascii="Tahoma" w:hAnsi="Tahoma" w:cs="Tahoma"/>
          <w:sz w:val="24"/>
          <w:szCs w:val="24"/>
        </w:rPr>
        <w:t xml:space="preserve"> desde hace más de treinta años. </w:t>
      </w:r>
    </w:p>
    <w:p w14:paraId="622E632D" w14:textId="77777777" w:rsidR="00BB1EF7" w:rsidRDefault="006E23F5" w:rsidP="00240520">
      <w:pPr>
        <w:spacing w:line="360" w:lineRule="auto"/>
        <w:ind w:firstLine="708"/>
        <w:jc w:val="both"/>
        <w:rPr>
          <w:rFonts w:ascii="Tahoma" w:hAnsi="Tahoma" w:cs="Tahoma"/>
          <w:sz w:val="24"/>
          <w:szCs w:val="24"/>
        </w:rPr>
      </w:pPr>
      <w:r>
        <w:rPr>
          <w:rFonts w:ascii="Tahoma" w:hAnsi="Tahoma" w:cs="Tahoma"/>
          <w:sz w:val="24"/>
          <w:szCs w:val="24"/>
        </w:rPr>
        <w:t>Ríos de tinta discurren en torno a esta materia, que tiene hoy, como veremos, una enorme importancia</w:t>
      </w:r>
      <w:r w:rsidR="004741D0">
        <w:rPr>
          <w:rFonts w:ascii="Tahoma" w:hAnsi="Tahoma" w:cs="Tahoma"/>
          <w:sz w:val="24"/>
          <w:szCs w:val="24"/>
        </w:rPr>
        <w:t xml:space="preserve"> jurídica, pero también social y humana</w:t>
      </w:r>
      <w:r>
        <w:rPr>
          <w:rFonts w:ascii="Tahoma" w:hAnsi="Tahoma" w:cs="Tahoma"/>
          <w:sz w:val="24"/>
          <w:szCs w:val="24"/>
        </w:rPr>
        <w:t>.</w:t>
      </w:r>
    </w:p>
    <w:p w14:paraId="6E4073FD" w14:textId="59180C94" w:rsidR="006E23F5" w:rsidRDefault="004741D0" w:rsidP="00240520">
      <w:pPr>
        <w:spacing w:line="360" w:lineRule="auto"/>
        <w:ind w:firstLine="708"/>
        <w:jc w:val="both"/>
        <w:rPr>
          <w:rFonts w:ascii="Tahoma" w:hAnsi="Tahoma" w:cs="Tahoma"/>
          <w:sz w:val="24"/>
          <w:szCs w:val="24"/>
        </w:rPr>
      </w:pPr>
      <w:r>
        <w:rPr>
          <w:rFonts w:ascii="Tahoma" w:hAnsi="Tahoma" w:cs="Tahoma"/>
          <w:sz w:val="24"/>
          <w:szCs w:val="24"/>
        </w:rPr>
        <w:t xml:space="preserve"> Dadas las numerosas facetas de la cuestión y habida cuenta del </w:t>
      </w:r>
      <w:r w:rsidR="00BB1EF7">
        <w:rPr>
          <w:rFonts w:ascii="Tahoma" w:hAnsi="Tahoma" w:cs="Tahoma"/>
          <w:sz w:val="24"/>
          <w:szCs w:val="24"/>
        </w:rPr>
        <w:t xml:space="preserve">escaso </w:t>
      </w:r>
      <w:r>
        <w:rPr>
          <w:rFonts w:ascii="Tahoma" w:hAnsi="Tahoma" w:cs="Tahoma"/>
          <w:sz w:val="24"/>
          <w:szCs w:val="24"/>
        </w:rPr>
        <w:t>tiempo de que dispongo, me limitaré</w:t>
      </w:r>
      <w:r w:rsidR="006E23F5">
        <w:rPr>
          <w:rFonts w:ascii="Tahoma" w:hAnsi="Tahoma" w:cs="Tahoma"/>
          <w:sz w:val="24"/>
          <w:szCs w:val="24"/>
        </w:rPr>
        <w:t xml:space="preserve"> </w:t>
      </w:r>
      <w:r>
        <w:rPr>
          <w:rFonts w:ascii="Tahoma" w:hAnsi="Tahoma" w:cs="Tahoma"/>
          <w:sz w:val="24"/>
          <w:szCs w:val="24"/>
        </w:rPr>
        <w:t xml:space="preserve">a hacer una </w:t>
      </w:r>
      <w:r w:rsidRPr="005A2200">
        <w:rPr>
          <w:rFonts w:ascii="Tahoma" w:hAnsi="Tahoma" w:cs="Tahoma"/>
          <w:i/>
          <w:iCs/>
          <w:sz w:val="24"/>
          <w:szCs w:val="24"/>
        </w:rPr>
        <w:t>reflexión discursiva</w:t>
      </w:r>
      <w:r>
        <w:rPr>
          <w:rFonts w:ascii="Tahoma" w:hAnsi="Tahoma" w:cs="Tahoma"/>
          <w:sz w:val="24"/>
          <w:szCs w:val="24"/>
        </w:rPr>
        <w:t>,</w:t>
      </w:r>
      <w:r w:rsidR="006E3EFA">
        <w:rPr>
          <w:rFonts w:ascii="Tahoma" w:hAnsi="Tahoma" w:cs="Tahoma"/>
          <w:sz w:val="24"/>
          <w:szCs w:val="24"/>
        </w:rPr>
        <w:t xml:space="preserve"> un planteamiento del problema y de sus posibles soluciones,</w:t>
      </w:r>
      <w:r>
        <w:rPr>
          <w:rFonts w:ascii="Tahoma" w:hAnsi="Tahoma" w:cs="Tahoma"/>
          <w:sz w:val="24"/>
          <w:szCs w:val="24"/>
        </w:rPr>
        <w:t xml:space="preserve"> sin ninguna pretensión </w:t>
      </w:r>
      <w:r w:rsidR="006E3EFA">
        <w:rPr>
          <w:rFonts w:ascii="Tahoma" w:hAnsi="Tahoma" w:cs="Tahoma"/>
          <w:sz w:val="24"/>
          <w:szCs w:val="24"/>
        </w:rPr>
        <w:t>de profundizar en el análisis científico.</w:t>
      </w:r>
    </w:p>
    <w:p w14:paraId="39D29B1F" w14:textId="0B3E3ADC" w:rsidR="003D4AF5" w:rsidRDefault="003D4AF5" w:rsidP="00240520">
      <w:pPr>
        <w:spacing w:line="360" w:lineRule="auto"/>
        <w:ind w:firstLine="708"/>
        <w:jc w:val="both"/>
        <w:rPr>
          <w:rFonts w:ascii="Tahoma" w:hAnsi="Tahoma" w:cs="Tahoma"/>
          <w:sz w:val="24"/>
          <w:szCs w:val="24"/>
        </w:rPr>
      </w:pPr>
      <w:r>
        <w:rPr>
          <w:rFonts w:ascii="Tahoma" w:hAnsi="Tahoma" w:cs="Tahoma"/>
          <w:sz w:val="24"/>
          <w:szCs w:val="24"/>
        </w:rPr>
        <w:t xml:space="preserve">Sumergiéndonos en el día a día de la </w:t>
      </w:r>
      <w:r w:rsidRPr="00B30555">
        <w:rPr>
          <w:rFonts w:ascii="Tahoma" w:hAnsi="Tahoma" w:cs="Tahoma"/>
          <w:i/>
          <w:iCs/>
          <w:sz w:val="24"/>
          <w:szCs w:val="24"/>
        </w:rPr>
        <w:t>práctica notarial</w:t>
      </w:r>
      <w:r>
        <w:rPr>
          <w:rFonts w:ascii="Tahoma" w:hAnsi="Tahoma" w:cs="Tahoma"/>
          <w:sz w:val="24"/>
          <w:szCs w:val="24"/>
        </w:rPr>
        <w:t xml:space="preserve">, podemos preguntarnos: ¿Qué ocurre en las notarías para que se haya puesto de manifiesto la necesidad de modificar el sistema legitimario del Código Civil? </w:t>
      </w:r>
    </w:p>
    <w:p w14:paraId="4CC5A399" w14:textId="07C237BE" w:rsidR="003D4AF5" w:rsidRDefault="003D4AF5" w:rsidP="00240520">
      <w:pPr>
        <w:spacing w:line="360" w:lineRule="auto"/>
        <w:ind w:firstLine="708"/>
        <w:jc w:val="both"/>
        <w:rPr>
          <w:rFonts w:ascii="Tahoma" w:hAnsi="Tahoma" w:cs="Tahoma"/>
          <w:sz w:val="24"/>
          <w:szCs w:val="24"/>
        </w:rPr>
      </w:pPr>
      <w:r>
        <w:rPr>
          <w:rFonts w:ascii="Tahoma" w:hAnsi="Tahoma" w:cs="Tahoma"/>
          <w:sz w:val="24"/>
          <w:szCs w:val="24"/>
        </w:rPr>
        <w:t>Veamos algunos casos</w:t>
      </w:r>
      <w:r>
        <w:rPr>
          <w:rStyle w:val="Refdenotaalpie"/>
          <w:rFonts w:ascii="Tahoma" w:hAnsi="Tahoma" w:cs="Tahoma"/>
          <w:sz w:val="24"/>
          <w:szCs w:val="24"/>
        </w:rPr>
        <w:footnoteReference w:id="1"/>
      </w:r>
      <w:r>
        <w:rPr>
          <w:rFonts w:ascii="Tahoma" w:hAnsi="Tahoma" w:cs="Tahoma"/>
          <w:sz w:val="24"/>
          <w:szCs w:val="24"/>
        </w:rPr>
        <w:t xml:space="preserve">: </w:t>
      </w:r>
      <w:r w:rsidR="006A3DAF">
        <w:rPr>
          <w:rFonts w:ascii="Tahoma" w:hAnsi="Tahoma" w:cs="Tahoma"/>
          <w:sz w:val="24"/>
          <w:szCs w:val="24"/>
        </w:rPr>
        <w:t>1) El habitual supuesto de matrimonio de más de ochenta años, que tiene dos hijos -ya cincuentones-, a los que les han proporcionado formación universitaria y que tienen un nivel de vida económico superior al de sus progenitores, que llegan a la notaría para otorgar testamento manifestando su voluntad de dejarse la propiedad de todos sus bienes el uno al otro, y lo que quede después, cuando fallezca el último de ellos, para los dos hijos a partes iguales. El notario les indica que no es posible, ya que los hijos tienen derecho a 2/3 de su herencia en concepto de legítima.  2) O el del matrimonio sin hijos</w:t>
      </w:r>
      <w:r w:rsidR="00763A2E">
        <w:rPr>
          <w:rFonts w:ascii="Tahoma" w:hAnsi="Tahoma" w:cs="Tahoma"/>
          <w:sz w:val="24"/>
          <w:szCs w:val="24"/>
        </w:rPr>
        <w:t xml:space="preserve">, en que vive alguno de sus padres, que quieren instituirse herederos recíprocamente. El notario les dice que tampoco es posible, ya que hay que legar al progenitor sobreviviente 1/3 de la herencia. 3) El del matrimonio </w:t>
      </w:r>
      <w:r w:rsidR="00763A2E">
        <w:rPr>
          <w:rFonts w:ascii="Tahoma" w:hAnsi="Tahoma" w:cs="Tahoma"/>
          <w:sz w:val="24"/>
          <w:szCs w:val="24"/>
        </w:rPr>
        <w:lastRenderedPageBreak/>
        <w:t xml:space="preserve">con un hijo y una hija, en el que cada uno de los cónyuges tiene una casa privativa, de similar valor, y pretende repartir sus </w:t>
      </w:r>
      <w:r w:rsidR="00240520">
        <w:rPr>
          <w:rFonts w:ascii="Tahoma" w:hAnsi="Tahoma" w:cs="Tahoma"/>
          <w:sz w:val="24"/>
          <w:szCs w:val="24"/>
        </w:rPr>
        <w:t xml:space="preserve">únicos </w:t>
      </w:r>
      <w:r w:rsidR="00763A2E">
        <w:rPr>
          <w:rFonts w:ascii="Tahoma" w:hAnsi="Tahoma" w:cs="Tahoma"/>
          <w:sz w:val="24"/>
          <w:szCs w:val="24"/>
        </w:rPr>
        <w:t>bienes</w:t>
      </w:r>
      <w:r w:rsidR="00240520">
        <w:rPr>
          <w:rFonts w:ascii="Tahoma" w:hAnsi="Tahoma" w:cs="Tahoma"/>
          <w:sz w:val="24"/>
          <w:szCs w:val="24"/>
        </w:rPr>
        <w:t xml:space="preserve"> entre los hijos</w:t>
      </w:r>
      <w:r w:rsidR="00763A2E">
        <w:rPr>
          <w:rFonts w:ascii="Tahoma" w:hAnsi="Tahoma" w:cs="Tahoma"/>
          <w:sz w:val="24"/>
          <w:szCs w:val="24"/>
        </w:rPr>
        <w:t xml:space="preserve">, de modo que la casa del padre vaya para la hija y la de la madre para el hijo. El notario también les informa que no es posible, puesto que la legítima que tiene cada hijo </w:t>
      </w:r>
      <w:r w:rsidR="00813BA4">
        <w:rPr>
          <w:rFonts w:ascii="Tahoma" w:hAnsi="Tahoma" w:cs="Tahoma"/>
          <w:sz w:val="24"/>
          <w:szCs w:val="24"/>
        </w:rPr>
        <w:t xml:space="preserve">lo es </w:t>
      </w:r>
      <w:r w:rsidR="00763A2E">
        <w:rPr>
          <w:rFonts w:ascii="Tahoma" w:hAnsi="Tahoma" w:cs="Tahoma"/>
          <w:sz w:val="24"/>
          <w:szCs w:val="24"/>
        </w:rPr>
        <w:t xml:space="preserve">respecto de la herencia </w:t>
      </w:r>
      <w:r w:rsidR="00240520">
        <w:rPr>
          <w:rFonts w:ascii="Tahoma" w:hAnsi="Tahoma" w:cs="Tahoma"/>
          <w:sz w:val="24"/>
          <w:szCs w:val="24"/>
        </w:rPr>
        <w:t xml:space="preserve">de </w:t>
      </w:r>
      <w:r w:rsidR="00763A2E">
        <w:rPr>
          <w:rFonts w:ascii="Tahoma" w:hAnsi="Tahoma" w:cs="Tahoma"/>
          <w:sz w:val="24"/>
          <w:szCs w:val="24"/>
        </w:rPr>
        <w:t>cada uno de los dos progenitores</w:t>
      </w:r>
      <w:r w:rsidR="00813BA4">
        <w:rPr>
          <w:rFonts w:ascii="Tahoma" w:hAnsi="Tahoma" w:cs="Tahoma"/>
          <w:sz w:val="24"/>
          <w:szCs w:val="24"/>
        </w:rPr>
        <w:t>.</w:t>
      </w:r>
      <w:r w:rsidR="00240520">
        <w:rPr>
          <w:rFonts w:ascii="Tahoma" w:hAnsi="Tahoma" w:cs="Tahoma"/>
          <w:sz w:val="24"/>
          <w:szCs w:val="24"/>
        </w:rPr>
        <w:t xml:space="preserve"> </w:t>
      </w:r>
      <w:r w:rsidR="00835A43">
        <w:rPr>
          <w:rFonts w:ascii="Tahoma" w:hAnsi="Tahoma" w:cs="Tahoma"/>
          <w:sz w:val="24"/>
          <w:szCs w:val="24"/>
        </w:rPr>
        <w:t>4) El de la soltera</w:t>
      </w:r>
      <w:r w:rsidR="00813BA4">
        <w:rPr>
          <w:rFonts w:ascii="Tahoma" w:hAnsi="Tahoma" w:cs="Tahoma"/>
          <w:sz w:val="24"/>
          <w:szCs w:val="24"/>
        </w:rPr>
        <w:t xml:space="preserve"> o el soltero</w:t>
      </w:r>
      <w:r w:rsidR="00835A43">
        <w:rPr>
          <w:rFonts w:ascii="Tahoma" w:hAnsi="Tahoma" w:cs="Tahoma"/>
          <w:sz w:val="24"/>
          <w:szCs w:val="24"/>
        </w:rPr>
        <w:t xml:space="preserve"> de más de sesenta años, sin hijos, viviendo sus padres, que tienen su vida resuelta, contando con un amplio patrimonio, y que quiere dejar su herencia a una ONG. El notario le informa que tiene que dejar a sus padres la legítima, que, en este caso, es de una mitad de su herencia. 5) El del padre</w:t>
      </w:r>
      <w:r w:rsidR="00813BA4">
        <w:rPr>
          <w:rFonts w:ascii="Tahoma" w:hAnsi="Tahoma" w:cs="Tahoma"/>
          <w:sz w:val="24"/>
          <w:szCs w:val="24"/>
        </w:rPr>
        <w:t xml:space="preserve"> o de la madre</w:t>
      </w:r>
      <w:r w:rsidR="00835A43">
        <w:rPr>
          <w:rFonts w:ascii="Tahoma" w:hAnsi="Tahoma" w:cs="Tahoma"/>
          <w:sz w:val="24"/>
          <w:szCs w:val="24"/>
        </w:rPr>
        <w:t xml:space="preserve"> que tiene tres hijos, de los cuales uno de ellos vive -según sus últimas noticias- en Australia, pero no tiene relación con él desde hace más de treinta años, desconoce dónde vive actualmente y tampoco sabe si está casado, ni si tiene descendencia. Debido a estas circunstancias, desea instituir herederos sólo a los otros dos hijos. El notario le responde que no puede hacerlo, puesto que la falta de relación no es causa de desheredación y su hijo tiene derecho a la legítima (en este caso, de 1/9 de la totalidad de su herencia).</w:t>
      </w:r>
    </w:p>
    <w:p w14:paraId="72BAC616" w14:textId="5113BF31" w:rsidR="00251F09" w:rsidRDefault="00251F09" w:rsidP="00240520">
      <w:pPr>
        <w:spacing w:line="360" w:lineRule="auto"/>
        <w:ind w:firstLine="708"/>
        <w:jc w:val="both"/>
        <w:rPr>
          <w:rFonts w:ascii="Tahoma" w:hAnsi="Tahoma" w:cs="Tahoma"/>
          <w:sz w:val="24"/>
          <w:szCs w:val="24"/>
        </w:rPr>
      </w:pPr>
      <w:r>
        <w:rPr>
          <w:rFonts w:ascii="Tahoma" w:hAnsi="Tahoma" w:cs="Tahoma"/>
          <w:sz w:val="24"/>
          <w:szCs w:val="24"/>
        </w:rPr>
        <w:t xml:space="preserve">En todos estos supuestos, tras el asesoramiento notarial, la reacción es de </w:t>
      </w:r>
      <w:r w:rsidRPr="00B30555">
        <w:rPr>
          <w:rFonts w:ascii="Tahoma" w:hAnsi="Tahoma" w:cs="Tahoma"/>
          <w:i/>
          <w:iCs/>
          <w:sz w:val="24"/>
          <w:szCs w:val="24"/>
        </w:rPr>
        <w:t>perplejidad e incomprensión</w:t>
      </w:r>
      <w:r>
        <w:rPr>
          <w:rFonts w:ascii="Tahoma" w:hAnsi="Tahoma" w:cs="Tahoma"/>
          <w:sz w:val="24"/>
          <w:szCs w:val="24"/>
        </w:rPr>
        <w:t>: no entienden por qué no pueden disponer libremente de la propiedad que, con gran sacrificio en la mayor parte de las ocasiones, han adquirido; no encuentran sentido a la limitación que las legítimas supone para su autonomía de voluntad, a su fundamento.</w:t>
      </w:r>
    </w:p>
    <w:p w14:paraId="433BF600" w14:textId="3A661CD0" w:rsidR="003347FC" w:rsidRDefault="00813BA4" w:rsidP="00240520">
      <w:pPr>
        <w:spacing w:line="360" w:lineRule="auto"/>
        <w:ind w:firstLine="708"/>
        <w:jc w:val="both"/>
        <w:rPr>
          <w:rFonts w:ascii="Tahoma" w:hAnsi="Tahoma" w:cs="Tahoma"/>
          <w:sz w:val="24"/>
          <w:szCs w:val="24"/>
        </w:rPr>
      </w:pPr>
      <w:r>
        <w:rPr>
          <w:rFonts w:ascii="Tahoma" w:hAnsi="Tahoma" w:cs="Tahoma"/>
          <w:sz w:val="24"/>
          <w:szCs w:val="24"/>
        </w:rPr>
        <w:t>Precisamente, e</w:t>
      </w:r>
      <w:r w:rsidR="003347FC">
        <w:rPr>
          <w:rFonts w:ascii="Tahoma" w:hAnsi="Tahoma" w:cs="Tahoma"/>
          <w:sz w:val="24"/>
          <w:szCs w:val="24"/>
        </w:rPr>
        <w:t>n marzo de 2021 se envió a todos los notarios de España un cuestionario sobre el sistema de legítimas del Código Civil español</w:t>
      </w:r>
      <w:r>
        <w:rPr>
          <w:rFonts w:ascii="Tahoma" w:hAnsi="Tahoma" w:cs="Tahoma"/>
          <w:sz w:val="24"/>
          <w:szCs w:val="24"/>
        </w:rPr>
        <w:t>. La mayoría de los notarios encuestados</w:t>
      </w:r>
      <w:r w:rsidR="003347FC">
        <w:rPr>
          <w:rFonts w:ascii="Tahoma" w:hAnsi="Tahoma" w:cs="Tahoma"/>
          <w:sz w:val="24"/>
          <w:szCs w:val="24"/>
        </w:rPr>
        <w:t xml:space="preserve"> expresó su insatisfacción, al no adaptarse a la realidad social actual, siendo proclive a una modificación sustancial del sistema legitimario.</w:t>
      </w:r>
    </w:p>
    <w:p w14:paraId="6524E76A" w14:textId="0999BB84" w:rsidR="003D4AF5" w:rsidRDefault="00251F09" w:rsidP="00A0148F">
      <w:pPr>
        <w:spacing w:line="360" w:lineRule="auto"/>
        <w:ind w:firstLine="708"/>
        <w:jc w:val="both"/>
        <w:rPr>
          <w:rFonts w:ascii="Tahoma" w:hAnsi="Tahoma" w:cs="Tahoma"/>
          <w:sz w:val="24"/>
          <w:szCs w:val="24"/>
        </w:rPr>
      </w:pPr>
      <w:r>
        <w:rPr>
          <w:rFonts w:ascii="Tahoma" w:hAnsi="Tahoma" w:cs="Tahoma"/>
          <w:sz w:val="24"/>
          <w:szCs w:val="24"/>
        </w:rPr>
        <w:t xml:space="preserve">Planteada la cuestión real extraída </w:t>
      </w:r>
      <w:r w:rsidR="00A0148F">
        <w:rPr>
          <w:rFonts w:ascii="Tahoma" w:hAnsi="Tahoma" w:cs="Tahoma"/>
          <w:sz w:val="24"/>
          <w:szCs w:val="24"/>
        </w:rPr>
        <w:t xml:space="preserve">directamente </w:t>
      </w:r>
      <w:r>
        <w:rPr>
          <w:rFonts w:ascii="Tahoma" w:hAnsi="Tahoma" w:cs="Tahoma"/>
          <w:sz w:val="24"/>
          <w:szCs w:val="24"/>
        </w:rPr>
        <w:t>de la práctica</w:t>
      </w:r>
      <w:r w:rsidR="003347FC">
        <w:rPr>
          <w:rFonts w:ascii="Tahoma" w:hAnsi="Tahoma" w:cs="Tahoma"/>
          <w:sz w:val="24"/>
          <w:szCs w:val="24"/>
        </w:rPr>
        <w:t xml:space="preserve"> y de la opinión de quienes viven diariamente la aplicación del sistema legitimario -los notarios-</w:t>
      </w:r>
      <w:r>
        <w:rPr>
          <w:rFonts w:ascii="Tahoma" w:hAnsi="Tahoma" w:cs="Tahoma"/>
          <w:sz w:val="24"/>
          <w:szCs w:val="24"/>
        </w:rPr>
        <w:t>, vamos a intentar desarrollar</w:t>
      </w:r>
      <w:r w:rsidR="00A0148F">
        <w:rPr>
          <w:rFonts w:ascii="Tahoma" w:hAnsi="Tahoma" w:cs="Tahoma"/>
          <w:sz w:val="24"/>
          <w:szCs w:val="24"/>
        </w:rPr>
        <w:t>, en una</w:t>
      </w:r>
      <w:r>
        <w:rPr>
          <w:rFonts w:ascii="Tahoma" w:hAnsi="Tahoma" w:cs="Tahoma"/>
          <w:sz w:val="24"/>
          <w:szCs w:val="24"/>
        </w:rPr>
        <w:t xml:space="preserve"> exposición más teórica, de una manera sistematizada, </w:t>
      </w:r>
      <w:r w:rsidR="00A4354F">
        <w:rPr>
          <w:rFonts w:ascii="Tahoma" w:hAnsi="Tahoma" w:cs="Tahoma"/>
          <w:sz w:val="24"/>
          <w:szCs w:val="24"/>
        </w:rPr>
        <w:t>los siguientes puntos, que sólo podremos abordar someramente: 1) Perspectiva histórica</w:t>
      </w:r>
      <w:r w:rsidR="00B30555">
        <w:rPr>
          <w:rFonts w:ascii="Tahoma" w:hAnsi="Tahoma" w:cs="Tahoma"/>
          <w:sz w:val="24"/>
          <w:szCs w:val="24"/>
        </w:rPr>
        <w:t>. 2) Las</w:t>
      </w:r>
      <w:r w:rsidR="00A4354F">
        <w:rPr>
          <w:rFonts w:ascii="Tahoma" w:hAnsi="Tahoma" w:cs="Tahoma"/>
          <w:sz w:val="24"/>
          <w:szCs w:val="24"/>
        </w:rPr>
        <w:t xml:space="preserve"> legítimas en España</w:t>
      </w:r>
      <w:r w:rsidR="00B30555">
        <w:rPr>
          <w:rFonts w:ascii="Tahoma" w:hAnsi="Tahoma" w:cs="Tahoma"/>
          <w:sz w:val="24"/>
          <w:szCs w:val="24"/>
        </w:rPr>
        <w:t>.</w:t>
      </w:r>
      <w:r w:rsidR="00A4354F">
        <w:rPr>
          <w:rFonts w:ascii="Tahoma" w:hAnsi="Tahoma" w:cs="Tahoma"/>
          <w:sz w:val="24"/>
          <w:szCs w:val="24"/>
        </w:rPr>
        <w:t xml:space="preserve"> 3) </w:t>
      </w:r>
      <w:r w:rsidR="00B30555">
        <w:rPr>
          <w:rFonts w:ascii="Tahoma" w:hAnsi="Tahoma" w:cs="Tahoma"/>
          <w:sz w:val="24"/>
          <w:szCs w:val="24"/>
        </w:rPr>
        <w:t>P</w:t>
      </w:r>
      <w:r w:rsidR="00A4354F">
        <w:rPr>
          <w:rFonts w:ascii="Tahoma" w:hAnsi="Tahoma" w:cs="Tahoma"/>
          <w:sz w:val="24"/>
          <w:szCs w:val="24"/>
        </w:rPr>
        <w:t xml:space="preserve">anorama </w:t>
      </w:r>
      <w:r w:rsidR="00A4354F">
        <w:rPr>
          <w:rFonts w:ascii="Tahoma" w:hAnsi="Tahoma" w:cs="Tahoma"/>
          <w:sz w:val="24"/>
          <w:szCs w:val="24"/>
        </w:rPr>
        <w:lastRenderedPageBreak/>
        <w:t>de Derecho comparado</w:t>
      </w:r>
      <w:r w:rsidR="00B30555">
        <w:rPr>
          <w:rFonts w:ascii="Tahoma" w:hAnsi="Tahoma" w:cs="Tahoma"/>
          <w:sz w:val="24"/>
          <w:szCs w:val="24"/>
        </w:rPr>
        <w:t>. 4) A</w:t>
      </w:r>
      <w:r w:rsidR="00F052B0">
        <w:rPr>
          <w:rFonts w:ascii="Tahoma" w:hAnsi="Tahoma" w:cs="Tahoma"/>
          <w:sz w:val="24"/>
          <w:szCs w:val="24"/>
        </w:rPr>
        <w:t>rgumentos a favor y en contra de la conservación de las legítimas</w:t>
      </w:r>
      <w:r w:rsidR="00B30555">
        <w:rPr>
          <w:rFonts w:ascii="Tahoma" w:hAnsi="Tahoma" w:cs="Tahoma"/>
          <w:sz w:val="24"/>
          <w:szCs w:val="24"/>
        </w:rPr>
        <w:t>.</w:t>
      </w:r>
      <w:r w:rsidR="00F052B0">
        <w:rPr>
          <w:rFonts w:ascii="Tahoma" w:hAnsi="Tahoma" w:cs="Tahoma"/>
          <w:sz w:val="24"/>
          <w:szCs w:val="24"/>
        </w:rPr>
        <w:t xml:space="preserve"> 5) </w:t>
      </w:r>
      <w:r w:rsidR="00B30555">
        <w:rPr>
          <w:rFonts w:ascii="Tahoma" w:hAnsi="Tahoma" w:cs="Tahoma"/>
          <w:sz w:val="24"/>
          <w:szCs w:val="24"/>
        </w:rPr>
        <w:t>Modificaciones familiares, sociales y económicas que demandan una urgente reforma de las legítimas. 6) Interpretación judicial de las causas de desheredación ante la nueva realidad social. 7) Tendencias en las últimas reformas legislativas. 8) P</w:t>
      </w:r>
      <w:r w:rsidR="00F052B0">
        <w:rPr>
          <w:rFonts w:ascii="Tahoma" w:hAnsi="Tahoma" w:cs="Tahoma"/>
          <w:sz w:val="24"/>
          <w:szCs w:val="24"/>
        </w:rPr>
        <w:t>ropuestas de reforma</w:t>
      </w:r>
      <w:r w:rsidR="00B30555">
        <w:rPr>
          <w:rFonts w:ascii="Tahoma" w:hAnsi="Tahoma" w:cs="Tahoma"/>
          <w:sz w:val="24"/>
          <w:szCs w:val="24"/>
        </w:rPr>
        <w:t>. 9) Situación actual. 10) Conclusiones y reflexiones finales.</w:t>
      </w:r>
    </w:p>
    <w:p w14:paraId="581B069B" w14:textId="02B18ACF" w:rsidR="00B30555" w:rsidRPr="00524DF3" w:rsidRDefault="00B30555" w:rsidP="00B30555">
      <w:pPr>
        <w:pStyle w:val="Prrafodelista"/>
        <w:numPr>
          <w:ilvl w:val="0"/>
          <w:numId w:val="3"/>
        </w:numPr>
        <w:spacing w:line="360" w:lineRule="auto"/>
        <w:jc w:val="both"/>
        <w:rPr>
          <w:rFonts w:ascii="Tahoma" w:hAnsi="Tahoma" w:cs="Tahoma"/>
          <w:b/>
          <w:bCs/>
          <w:sz w:val="24"/>
          <w:szCs w:val="24"/>
        </w:rPr>
      </w:pPr>
      <w:r w:rsidRPr="00524DF3">
        <w:rPr>
          <w:rFonts w:ascii="Tahoma" w:hAnsi="Tahoma" w:cs="Tahoma"/>
          <w:b/>
          <w:bCs/>
          <w:sz w:val="24"/>
          <w:szCs w:val="24"/>
        </w:rPr>
        <w:t>Perspectiva histórica.</w:t>
      </w:r>
    </w:p>
    <w:p w14:paraId="1C3E606E" w14:textId="77777777" w:rsidR="00B30555" w:rsidRDefault="00EE4B3F" w:rsidP="00A0148F">
      <w:pPr>
        <w:spacing w:line="360" w:lineRule="auto"/>
        <w:ind w:firstLine="708"/>
        <w:jc w:val="both"/>
        <w:rPr>
          <w:rFonts w:ascii="Tahoma" w:hAnsi="Tahoma" w:cs="Tahoma"/>
          <w:i/>
          <w:iCs/>
          <w:sz w:val="24"/>
          <w:szCs w:val="24"/>
        </w:rPr>
      </w:pPr>
      <w:r>
        <w:rPr>
          <w:rFonts w:ascii="Tahoma" w:hAnsi="Tahoma" w:cs="Tahoma"/>
          <w:sz w:val="24"/>
          <w:szCs w:val="24"/>
        </w:rPr>
        <w:t xml:space="preserve">En el </w:t>
      </w:r>
      <w:r w:rsidRPr="00B30555">
        <w:rPr>
          <w:rFonts w:ascii="Tahoma" w:hAnsi="Tahoma" w:cs="Tahoma"/>
          <w:i/>
          <w:iCs/>
          <w:sz w:val="24"/>
          <w:szCs w:val="24"/>
        </w:rPr>
        <w:t>Derecho romano primitivo</w:t>
      </w:r>
      <w:r>
        <w:rPr>
          <w:rFonts w:ascii="Tahoma" w:hAnsi="Tahoma" w:cs="Tahoma"/>
          <w:sz w:val="24"/>
          <w:szCs w:val="24"/>
        </w:rPr>
        <w:t xml:space="preserve"> la libertad de testar era prácticamente total. El testador podía nombrar heredero a cualquier persona</w:t>
      </w:r>
      <w:r>
        <w:rPr>
          <w:rStyle w:val="Refdenotaalpie"/>
          <w:rFonts w:ascii="Tahoma" w:hAnsi="Tahoma" w:cs="Tahoma"/>
          <w:sz w:val="24"/>
          <w:szCs w:val="24"/>
        </w:rPr>
        <w:footnoteReference w:id="2"/>
      </w:r>
      <w:r>
        <w:rPr>
          <w:rFonts w:ascii="Tahoma" w:hAnsi="Tahoma" w:cs="Tahoma"/>
          <w:sz w:val="24"/>
          <w:szCs w:val="24"/>
        </w:rPr>
        <w:t xml:space="preserve">. No obstante, el </w:t>
      </w:r>
      <w:r w:rsidRPr="00621849">
        <w:rPr>
          <w:rFonts w:ascii="Tahoma" w:hAnsi="Tahoma" w:cs="Tahoma"/>
          <w:i/>
          <w:iCs/>
          <w:sz w:val="24"/>
          <w:szCs w:val="24"/>
        </w:rPr>
        <w:t>ius civile</w:t>
      </w:r>
      <w:r>
        <w:rPr>
          <w:rFonts w:ascii="Tahoma" w:hAnsi="Tahoma" w:cs="Tahoma"/>
          <w:sz w:val="24"/>
          <w:szCs w:val="24"/>
        </w:rPr>
        <w:t xml:space="preserve"> reconoce la condición de herederos de propio derecho a los miembros del grupo familiar, si bien es suficiente mencionarlos en el </w:t>
      </w:r>
      <w:r w:rsidR="00621849">
        <w:rPr>
          <w:rFonts w:ascii="Tahoma" w:hAnsi="Tahoma" w:cs="Tahoma"/>
          <w:sz w:val="24"/>
          <w:szCs w:val="24"/>
        </w:rPr>
        <w:t>testamento,</w:t>
      </w:r>
      <w:r>
        <w:rPr>
          <w:rFonts w:ascii="Tahoma" w:hAnsi="Tahoma" w:cs="Tahoma"/>
          <w:sz w:val="24"/>
          <w:szCs w:val="24"/>
        </w:rPr>
        <w:t xml:space="preserve"> aunque no se les deje nada</w:t>
      </w:r>
      <w:r w:rsidR="00140138">
        <w:rPr>
          <w:rFonts w:ascii="Tahoma" w:hAnsi="Tahoma" w:cs="Tahoma"/>
          <w:sz w:val="24"/>
          <w:szCs w:val="24"/>
        </w:rPr>
        <w:t xml:space="preserve">, pudiendo instituir heredero a una persona, apartando o desheredando a los </w:t>
      </w:r>
      <w:r w:rsidR="00DB162B">
        <w:rPr>
          <w:rFonts w:ascii="Tahoma" w:hAnsi="Tahoma" w:cs="Tahoma"/>
          <w:i/>
          <w:iCs/>
          <w:sz w:val="24"/>
          <w:szCs w:val="24"/>
        </w:rPr>
        <w:t>sui heredes</w:t>
      </w:r>
      <w:r w:rsidR="00E227A6">
        <w:rPr>
          <w:rStyle w:val="Refdenotaalpie"/>
          <w:rFonts w:ascii="Tahoma" w:hAnsi="Tahoma" w:cs="Tahoma"/>
          <w:i/>
          <w:iCs/>
          <w:sz w:val="24"/>
          <w:szCs w:val="24"/>
        </w:rPr>
        <w:footnoteReference w:id="3"/>
      </w:r>
      <w:r w:rsidR="00E227A6">
        <w:rPr>
          <w:rFonts w:ascii="Tahoma" w:hAnsi="Tahoma" w:cs="Tahoma"/>
          <w:i/>
          <w:iCs/>
          <w:sz w:val="24"/>
          <w:szCs w:val="24"/>
        </w:rPr>
        <w:t>.</w:t>
      </w:r>
    </w:p>
    <w:p w14:paraId="28259856" w14:textId="77777777" w:rsidR="00B30555" w:rsidRDefault="00E227A6" w:rsidP="00A0148F">
      <w:pPr>
        <w:spacing w:line="360" w:lineRule="auto"/>
        <w:ind w:firstLine="708"/>
        <w:jc w:val="both"/>
        <w:rPr>
          <w:rFonts w:ascii="Tahoma" w:hAnsi="Tahoma" w:cs="Tahoma"/>
          <w:sz w:val="24"/>
          <w:szCs w:val="24"/>
        </w:rPr>
      </w:pPr>
      <w:r>
        <w:rPr>
          <w:rFonts w:ascii="Tahoma" w:hAnsi="Tahoma" w:cs="Tahoma"/>
          <w:i/>
          <w:iCs/>
          <w:sz w:val="24"/>
          <w:szCs w:val="24"/>
        </w:rPr>
        <w:t xml:space="preserve"> </w:t>
      </w:r>
      <w:r>
        <w:rPr>
          <w:rFonts w:ascii="Tahoma" w:hAnsi="Tahoma" w:cs="Tahoma"/>
          <w:sz w:val="24"/>
          <w:szCs w:val="24"/>
        </w:rPr>
        <w:t xml:space="preserve">A finales de la República, el mismo principio de libertad de testar siguió rigiendo, si bien era necesario desheredar expresamente a los herederos </w:t>
      </w:r>
      <w:r w:rsidR="00B866FF">
        <w:rPr>
          <w:rFonts w:ascii="Tahoma" w:hAnsi="Tahoma" w:cs="Tahoma"/>
          <w:sz w:val="24"/>
          <w:szCs w:val="24"/>
        </w:rPr>
        <w:t>de propio derecho</w:t>
      </w:r>
      <w:r w:rsidRPr="00E227A6">
        <w:rPr>
          <w:rFonts w:ascii="Tahoma" w:hAnsi="Tahoma" w:cs="Tahoma"/>
          <w:i/>
          <w:iCs/>
          <w:sz w:val="24"/>
          <w:szCs w:val="24"/>
        </w:rPr>
        <w:t>,</w:t>
      </w:r>
      <w:r>
        <w:rPr>
          <w:rFonts w:ascii="Tahoma" w:hAnsi="Tahoma" w:cs="Tahoma"/>
          <w:sz w:val="24"/>
          <w:szCs w:val="24"/>
        </w:rPr>
        <w:t xml:space="preserve"> aunque sin necesidad de alegar causa.</w:t>
      </w:r>
      <w:r w:rsidR="00C61654">
        <w:rPr>
          <w:rFonts w:ascii="Tahoma" w:hAnsi="Tahoma" w:cs="Tahoma"/>
          <w:sz w:val="24"/>
          <w:szCs w:val="24"/>
        </w:rPr>
        <w:t xml:space="preserve"> </w:t>
      </w:r>
    </w:p>
    <w:p w14:paraId="1D642975" w14:textId="77777777" w:rsidR="00B30555" w:rsidRDefault="00B866FF" w:rsidP="00A0148F">
      <w:pPr>
        <w:spacing w:line="360" w:lineRule="auto"/>
        <w:ind w:firstLine="708"/>
        <w:jc w:val="both"/>
        <w:rPr>
          <w:rFonts w:ascii="Tahoma" w:hAnsi="Tahoma" w:cs="Tahoma"/>
          <w:sz w:val="24"/>
          <w:szCs w:val="24"/>
        </w:rPr>
      </w:pPr>
      <w:r>
        <w:rPr>
          <w:rFonts w:ascii="Tahoma" w:hAnsi="Tahoma" w:cs="Tahoma"/>
          <w:sz w:val="24"/>
          <w:szCs w:val="24"/>
        </w:rPr>
        <w:t>La Ley Falcidia, en el año 40 a.C., estableció una cuota mínima de la cuarta parte de la herencia (a todo heredero) con la que poder hacer frente a las deudas, evitando la renuncia de la herencia.</w:t>
      </w:r>
    </w:p>
    <w:p w14:paraId="66FA5175" w14:textId="77777777" w:rsidR="00741D4F" w:rsidRDefault="00B866FF" w:rsidP="00741D4F">
      <w:pPr>
        <w:spacing w:line="360" w:lineRule="auto"/>
        <w:ind w:firstLine="708"/>
        <w:jc w:val="both"/>
        <w:rPr>
          <w:rFonts w:ascii="Tahoma" w:hAnsi="Tahoma" w:cs="Tahoma"/>
          <w:sz w:val="24"/>
          <w:szCs w:val="24"/>
        </w:rPr>
      </w:pPr>
      <w:r>
        <w:rPr>
          <w:rFonts w:ascii="Tahoma" w:hAnsi="Tahoma" w:cs="Tahoma"/>
          <w:sz w:val="24"/>
          <w:szCs w:val="24"/>
        </w:rPr>
        <w:t xml:space="preserve"> </w:t>
      </w:r>
      <w:r w:rsidR="00741D4F">
        <w:rPr>
          <w:rFonts w:ascii="Tahoma" w:hAnsi="Tahoma" w:cs="Tahoma"/>
          <w:sz w:val="24"/>
          <w:szCs w:val="24"/>
        </w:rPr>
        <w:t xml:space="preserve">Hacia finales del siglo I a. C., se fue imponiendo la idea de que si el testador no se basaba en una causa justificada la desheredación incumplía el </w:t>
      </w:r>
      <w:r w:rsidR="00741D4F" w:rsidRPr="003F7BF7">
        <w:rPr>
          <w:rFonts w:ascii="Tahoma" w:hAnsi="Tahoma" w:cs="Tahoma"/>
          <w:i/>
          <w:iCs/>
          <w:sz w:val="24"/>
          <w:szCs w:val="24"/>
        </w:rPr>
        <w:t>officium pietatis</w:t>
      </w:r>
      <w:r w:rsidR="00741D4F">
        <w:rPr>
          <w:rFonts w:ascii="Tahoma" w:hAnsi="Tahoma" w:cs="Tahoma"/>
          <w:sz w:val="24"/>
          <w:szCs w:val="24"/>
        </w:rPr>
        <w:t xml:space="preserve">, es decir, el deber moral de afección que tenía con los </w:t>
      </w:r>
      <w:r w:rsidR="00741D4F">
        <w:rPr>
          <w:rFonts w:ascii="Tahoma" w:hAnsi="Tahoma" w:cs="Tahoma"/>
          <w:i/>
          <w:iCs/>
          <w:sz w:val="24"/>
          <w:szCs w:val="24"/>
        </w:rPr>
        <w:t>sui heredes</w:t>
      </w:r>
      <w:r w:rsidR="00741D4F">
        <w:rPr>
          <w:rStyle w:val="Refdenotaalpie"/>
          <w:rFonts w:ascii="Tahoma" w:hAnsi="Tahoma" w:cs="Tahoma"/>
          <w:i/>
          <w:iCs/>
          <w:sz w:val="24"/>
          <w:szCs w:val="24"/>
        </w:rPr>
        <w:footnoteReference w:id="4"/>
      </w:r>
      <w:r w:rsidR="00741D4F">
        <w:rPr>
          <w:rFonts w:ascii="Tahoma" w:hAnsi="Tahoma" w:cs="Tahoma"/>
          <w:sz w:val="24"/>
          <w:szCs w:val="24"/>
        </w:rPr>
        <w:t xml:space="preserve">. </w:t>
      </w:r>
    </w:p>
    <w:p w14:paraId="702C6F17" w14:textId="2C13EA3E" w:rsidR="00A0148F" w:rsidRDefault="00B866FF" w:rsidP="00A0148F">
      <w:pPr>
        <w:spacing w:line="360" w:lineRule="auto"/>
        <w:ind w:firstLine="708"/>
        <w:jc w:val="both"/>
        <w:rPr>
          <w:rFonts w:ascii="Tahoma" w:hAnsi="Tahoma" w:cs="Tahoma"/>
          <w:sz w:val="24"/>
          <w:szCs w:val="24"/>
        </w:rPr>
      </w:pPr>
      <w:r>
        <w:rPr>
          <w:rFonts w:ascii="Tahoma" w:hAnsi="Tahoma" w:cs="Tahoma"/>
          <w:sz w:val="24"/>
          <w:szCs w:val="24"/>
        </w:rPr>
        <w:lastRenderedPageBreak/>
        <w:t>No obstante, la legítima material</w:t>
      </w:r>
      <w:r w:rsidR="00E0381A">
        <w:rPr>
          <w:rStyle w:val="Refdenotaalpie"/>
          <w:rFonts w:ascii="Tahoma" w:hAnsi="Tahoma" w:cs="Tahoma"/>
          <w:sz w:val="24"/>
          <w:szCs w:val="24"/>
        </w:rPr>
        <w:footnoteReference w:id="5"/>
      </w:r>
      <w:r>
        <w:rPr>
          <w:rFonts w:ascii="Tahoma" w:hAnsi="Tahoma" w:cs="Tahoma"/>
          <w:sz w:val="24"/>
          <w:szCs w:val="24"/>
        </w:rPr>
        <w:t xml:space="preserve"> surge en la </w:t>
      </w:r>
      <w:r w:rsidRPr="00524DF3">
        <w:rPr>
          <w:rFonts w:ascii="Tahoma" w:hAnsi="Tahoma" w:cs="Tahoma"/>
          <w:i/>
          <w:iCs/>
          <w:sz w:val="24"/>
          <w:szCs w:val="24"/>
        </w:rPr>
        <w:t>época de Justiniano</w:t>
      </w:r>
      <w:r>
        <w:rPr>
          <w:rFonts w:ascii="Tahoma" w:hAnsi="Tahoma" w:cs="Tahoma"/>
          <w:sz w:val="24"/>
          <w:szCs w:val="24"/>
        </w:rPr>
        <w:t>, quien exigió</w:t>
      </w:r>
      <w:r>
        <w:rPr>
          <w:rStyle w:val="Refdenotaalpie"/>
          <w:rFonts w:ascii="Tahoma" w:hAnsi="Tahoma" w:cs="Tahoma"/>
          <w:sz w:val="24"/>
          <w:szCs w:val="24"/>
        </w:rPr>
        <w:footnoteReference w:id="6"/>
      </w:r>
      <w:r>
        <w:rPr>
          <w:rFonts w:ascii="Tahoma" w:hAnsi="Tahoma" w:cs="Tahoma"/>
          <w:sz w:val="24"/>
          <w:szCs w:val="24"/>
        </w:rPr>
        <w:t xml:space="preserve"> que el legitimario, descendiente o ascendiente, fuera instituido necesariamente a título de heredero, debiendo dejarle una cuota hereditaria</w:t>
      </w:r>
      <w:r>
        <w:rPr>
          <w:rStyle w:val="Refdenotaalpie"/>
          <w:rFonts w:ascii="Tahoma" w:hAnsi="Tahoma" w:cs="Tahoma"/>
          <w:sz w:val="24"/>
          <w:szCs w:val="24"/>
        </w:rPr>
        <w:footnoteReference w:id="7"/>
      </w:r>
      <w:r>
        <w:rPr>
          <w:rFonts w:ascii="Tahoma" w:hAnsi="Tahoma" w:cs="Tahoma"/>
          <w:sz w:val="24"/>
          <w:szCs w:val="24"/>
        </w:rPr>
        <w:t xml:space="preserve"> de la que no podría ser privado sino por una de las justas causas de desheredación legalmente previstas.</w:t>
      </w:r>
    </w:p>
    <w:p w14:paraId="58B6DCB9" w14:textId="04EFF005" w:rsidR="005C200E" w:rsidRDefault="005C200E" w:rsidP="00A0148F">
      <w:pPr>
        <w:spacing w:line="360" w:lineRule="auto"/>
        <w:ind w:firstLine="708"/>
        <w:jc w:val="both"/>
        <w:rPr>
          <w:rFonts w:ascii="Tahoma" w:hAnsi="Tahoma" w:cs="Tahoma"/>
          <w:sz w:val="24"/>
          <w:szCs w:val="24"/>
        </w:rPr>
      </w:pPr>
      <w:r>
        <w:rPr>
          <w:rFonts w:ascii="Tahoma" w:hAnsi="Tahoma" w:cs="Tahoma"/>
          <w:sz w:val="24"/>
          <w:szCs w:val="24"/>
        </w:rPr>
        <w:t xml:space="preserve">En el </w:t>
      </w:r>
      <w:r w:rsidRPr="00524DF3">
        <w:rPr>
          <w:rFonts w:ascii="Tahoma" w:hAnsi="Tahoma" w:cs="Tahoma"/>
          <w:i/>
          <w:iCs/>
          <w:sz w:val="24"/>
          <w:szCs w:val="24"/>
        </w:rPr>
        <w:t>Derecho germánico</w:t>
      </w:r>
      <w:r>
        <w:rPr>
          <w:rFonts w:ascii="Tahoma" w:hAnsi="Tahoma" w:cs="Tahoma"/>
          <w:sz w:val="24"/>
          <w:szCs w:val="24"/>
        </w:rPr>
        <w:t>, el patrimonio estaba vinculado a la comunidad familiar, la propiedad era colectiva. La reserva</w:t>
      </w:r>
      <w:r w:rsidR="004D2743">
        <w:rPr>
          <w:rStyle w:val="Refdenotaalpie"/>
          <w:rFonts w:ascii="Tahoma" w:hAnsi="Tahoma" w:cs="Tahoma"/>
          <w:sz w:val="24"/>
          <w:szCs w:val="24"/>
        </w:rPr>
        <w:footnoteReference w:id="8"/>
      </w:r>
      <w:r>
        <w:rPr>
          <w:rFonts w:ascii="Tahoma" w:hAnsi="Tahoma" w:cs="Tahoma"/>
          <w:sz w:val="24"/>
          <w:szCs w:val="24"/>
        </w:rPr>
        <w:t xml:space="preserve"> familiar germánica es consecuencia de la concepción de la copropiedad familiar.</w:t>
      </w:r>
      <w:r w:rsidR="004D2743">
        <w:rPr>
          <w:rFonts w:ascii="Tahoma" w:hAnsi="Tahoma" w:cs="Tahoma"/>
          <w:sz w:val="24"/>
          <w:szCs w:val="24"/>
        </w:rPr>
        <w:t xml:space="preserve"> Se trata de conservar para la familia una parte importante de los inmuebles propios a favor de los hijos y, en su defecto, de los parientes de los que proceden los bienes.</w:t>
      </w:r>
    </w:p>
    <w:p w14:paraId="4A6B60AF" w14:textId="77777777" w:rsidR="00B30555" w:rsidRDefault="00B11741" w:rsidP="00A0148F">
      <w:pPr>
        <w:spacing w:line="360" w:lineRule="auto"/>
        <w:ind w:firstLine="708"/>
        <w:jc w:val="both"/>
        <w:rPr>
          <w:rFonts w:ascii="Tahoma" w:hAnsi="Tahoma" w:cs="Tahoma"/>
          <w:sz w:val="24"/>
          <w:szCs w:val="24"/>
        </w:rPr>
      </w:pPr>
      <w:r>
        <w:rPr>
          <w:rFonts w:ascii="Tahoma" w:hAnsi="Tahoma" w:cs="Tahoma"/>
          <w:sz w:val="24"/>
          <w:szCs w:val="24"/>
        </w:rPr>
        <w:t xml:space="preserve">En el </w:t>
      </w:r>
      <w:r w:rsidRPr="00524DF3">
        <w:rPr>
          <w:rFonts w:ascii="Tahoma" w:hAnsi="Tahoma" w:cs="Tahoma"/>
          <w:i/>
          <w:iCs/>
          <w:sz w:val="24"/>
          <w:szCs w:val="24"/>
        </w:rPr>
        <w:t>Derecho histórico español</w:t>
      </w:r>
      <w:r>
        <w:rPr>
          <w:rFonts w:ascii="Tahoma" w:hAnsi="Tahoma" w:cs="Tahoma"/>
          <w:sz w:val="24"/>
          <w:szCs w:val="24"/>
        </w:rPr>
        <w:t xml:space="preserve"> convivieron los dos sistemas: el romano y el </w:t>
      </w:r>
      <w:r w:rsidR="00146886">
        <w:rPr>
          <w:rFonts w:ascii="Tahoma" w:hAnsi="Tahoma" w:cs="Tahoma"/>
          <w:sz w:val="24"/>
          <w:szCs w:val="24"/>
        </w:rPr>
        <w:t>germánico</w:t>
      </w:r>
      <w:r>
        <w:rPr>
          <w:rFonts w:ascii="Tahoma" w:hAnsi="Tahoma" w:cs="Tahoma"/>
          <w:sz w:val="24"/>
          <w:szCs w:val="24"/>
        </w:rPr>
        <w:t xml:space="preserve">. </w:t>
      </w:r>
      <w:r w:rsidR="002F28A2">
        <w:rPr>
          <w:rFonts w:ascii="Tahoma" w:hAnsi="Tahoma" w:cs="Tahoma"/>
          <w:sz w:val="24"/>
          <w:szCs w:val="24"/>
        </w:rPr>
        <w:t xml:space="preserve">La Ley </w:t>
      </w:r>
      <w:r w:rsidR="002F28A2" w:rsidRPr="002F28A2">
        <w:rPr>
          <w:rFonts w:ascii="Tahoma" w:hAnsi="Tahoma" w:cs="Tahoma"/>
          <w:i/>
          <w:iCs/>
          <w:sz w:val="24"/>
          <w:szCs w:val="24"/>
        </w:rPr>
        <w:t>Dum Inlicita</w:t>
      </w:r>
      <w:r w:rsidR="002F28A2">
        <w:rPr>
          <w:rFonts w:ascii="Tahoma" w:hAnsi="Tahoma" w:cs="Tahoma"/>
          <w:sz w:val="24"/>
          <w:szCs w:val="24"/>
        </w:rPr>
        <w:t xml:space="preserve"> de Chindasvinto</w:t>
      </w:r>
      <w:r w:rsidR="002F28A2">
        <w:rPr>
          <w:rStyle w:val="Refdenotaalpie"/>
          <w:rFonts w:ascii="Tahoma" w:hAnsi="Tahoma" w:cs="Tahoma"/>
          <w:sz w:val="24"/>
          <w:szCs w:val="24"/>
        </w:rPr>
        <w:footnoteReference w:id="9"/>
      </w:r>
      <w:r w:rsidR="002F28A2">
        <w:rPr>
          <w:rFonts w:ascii="Tahoma" w:hAnsi="Tahoma" w:cs="Tahoma"/>
          <w:sz w:val="24"/>
          <w:szCs w:val="24"/>
        </w:rPr>
        <w:t xml:space="preserve"> obligó al testador a reservar cuatro quintos del haber hereditario a favor de los descendientes, introduciendo la mejora del décimo</w:t>
      </w:r>
      <w:r w:rsidR="002F28A2">
        <w:rPr>
          <w:rStyle w:val="Refdenotaalpie"/>
          <w:rFonts w:ascii="Tahoma" w:hAnsi="Tahoma" w:cs="Tahoma"/>
          <w:sz w:val="24"/>
          <w:szCs w:val="24"/>
        </w:rPr>
        <w:footnoteReference w:id="10"/>
      </w:r>
      <w:r w:rsidR="002F28A2">
        <w:rPr>
          <w:rFonts w:ascii="Tahoma" w:hAnsi="Tahoma" w:cs="Tahoma"/>
          <w:sz w:val="24"/>
          <w:szCs w:val="24"/>
        </w:rPr>
        <w:t>.</w:t>
      </w:r>
      <w:r w:rsidR="00E17AE5">
        <w:rPr>
          <w:rFonts w:ascii="Tahoma" w:hAnsi="Tahoma" w:cs="Tahoma"/>
          <w:sz w:val="24"/>
          <w:szCs w:val="24"/>
        </w:rPr>
        <w:t xml:space="preserve"> </w:t>
      </w:r>
    </w:p>
    <w:p w14:paraId="1BEF9CEC" w14:textId="77777777" w:rsidR="00B30555" w:rsidRDefault="00E17AE5" w:rsidP="00A0148F">
      <w:pPr>
        <w:spacing w:line="360" w:lineRule="auto"/>
        <w:ind w:firstLine="708"/>
        <w:jc w:val="both"/>
        <w:rPr>
          <w:rFonts w:ascii="Tahoma" w:hAnsi="Tahoma" w:cs="Tahoma"/>
          <w:sz w:val="24"/>
          <w:szCs w:val="24"/>
        </w:rPr>
      </w:pPr>
      <w:r>
        <w:rPr>
          <w:rFonts w:ascii="Tahoma" w:hAnsi="Tahoma" w:cs="Tahoma"/>
          <w:sz w:val="24"/>
          <w:szCs w:val="24"/>
        </w:rPr>
        <w:t xml:space="preserve">Dejando al margen los Fueros locales, centrándonos en Castilla, en el siglo XIII destaca el Fuero Viejo de Castilla que, respondiendo a una clara influencia germánica, restablece la división del haber hereditario entre los hijos por partes iguales, suprime la mejora y deja </w:t>
      </w:r>
      <w:r w:rsidR="00880E42">
        <w:rPr>
          <w:rFonts w:ascii="Tahoma" w:hAnsi="Tahoma" w:cs="Tahoma"/>
          <w:sz w:val="24"/>
          <w:szCs w:val="24"/>
        </w:rPr>
        <w:t xml:space="preserve">libre </w:t>
      </w:r>
      <w:r>
        <w:rPr>
          <w:rFonts w:ascii="Tahoma" w:hAnsi="Tahoma" w:cs="Tahoma"/>
          <w:sz w:val="24"/>
          <w:szCs w:val="24"/>
        </w:rPr>
        <w:t xml:space="preserve">sólo una quinta parte que podía aplicar el testador por su alma. </w:t>
      </w:r>
    </w:p>
    <w:p w14:paraId="56841C1E" w14:textId="77777777" w:rsidR="00B30555" w:rsidRDefault="00E17AE5" w:rsidP="00A0148F">
      <w:pPr>
        <w:spacing w:line="360" w:lineRule="auto"/>
        <w:ind w:firstLine="708"/>
        <w:jc w:val="both"/>
        <w:rPr>
          <w:rFonts w:ascii="Tahoma" w:hAnsi="Tahoma" w:cs="Tahoma"/>
          <w:sz w:val="24"/>
          <w:szCs w:val="24"/>
        </w:rPr>
      </w:pPr>
      <w:r>
        <w:rPr>
          <w:rFonts w:ascii="Tahoma" w:hAnsi="Tahoma" w:cs="Tahoma"/>
          <w:sz w:val="24"/>
          <w:szCs w:val="24"/>
        </w:rPr>
        <w:t xml:space="preserve">El Fuero Real de 1255 establece la legítima de los hijos de cuatro quintos y la mejora de un tercio, no reconociendo el carácter de herederos forzosos ni a los ascendientes ni al cónyuge. </w:t>
      </w:r>
    </w:p>
    <w:p w14:paraId="4CBDE7A0" w14:textId="77777777" w:rsidR="00524DF3" w:rsidRDefault="00E17AE5" w:rsidP="00A0148F">
      <w:pPr>
        <w:spacing w:line="360" w:lineRule="auto"/>
        <w:ind w:firstLine="708"/>
        <w:jc w:val="both"/>
        <w:rPr>
          <w:rFonts w:ascii="Tahoma" w:hAnsi="Tahoma" w:cs="Tahoma"/>
          <w:sz w:val="24"/>
          <w:szCs w:val="24"/>
        </w:rPr>
      </w:pPr>
      <w:r>
        <w:rPr>
          <w:rFonts w:ascii="Tahoma" w:hAnsi="Tahoma" w:cs="Tahoma"/>
          <w:sz w:val="24"/>
          <w:szCs w:val="24"/>
        </w:rPr>
        <w:t>El Código de las Siete Partidas de 1.265, establece la legítima justinianea de los hijos de carácter variable según su número</w:t>
      </w:r>
      <w:r w:rsidR="00F01A56">
        <w:rPr>
          <w:rStyle w:val="Refdenotaalpie"/>
          <w:rFonts w:ascii="Tahoma" w:hAnsi="Tahoma" w:cs="Tahoma"/>
          <w:sz w:val="24"/>
          <w:szCs w:val="24"/>
        </w:rPr>
        <w:footnoteReference w:id="11"/>
      </w:r>
      <w:r>
        <w:rPr>
          <w:rFonts w:ascii="Tahoma" w:hAnsi="Tahoma" w:cs="Tahoma"/>
          <w:sz w:val="24"/>
          <w:szCs w:val="24"/>
        </w:rPr>
        <w:t xml:space="preserve">, configurando, en defecto de </w:t>
      </w:r>
      <w:r>
        <w:rPr>
          <w:rFonts w:ascii="Tahoma" w:hAnsi="Tahoma" w:cs="Tahoma"/>
          <w:sz w:val="24"/>
          <w:szCs w:val="24"/>
        </w:rPr>
        <w:lastRenderedPageBreak/>
        <w:t>éstos, la legítima de los ascendientes como debida por derecho natural, dejando al cónyuge viudo la cuarta parte romana, si bien sin reconocerle su carácter de heredero forzoso</w:t>
      </w:r>
      <w:r w:rsidR="00F01A56">
        <w:rPr>
          <w:rStyle w:val="Refdenotaalpie"/>
          <w:rFonts w:ascii="Tahoma" w:hAnsi="Tahoma" w:cs="Tahoma"/>
          <w:sz w:val="24"/>
          <w:szCs w:val="24"/>
        </w:rPr>
        <w:footnoteReference w:id="12"/>
      </w:r>
      <w:r w:rsidR="00880E42">
        <w:rPr>
          <w:rFonts w:ascii="Tahoma" w:hAnsi="Tahoma" w:cs="Tahoma"/>
          <w:sz w:val="24"/>
          <w:szCs w:val="24"/>
        </w:rPr>
        <w:t>.</w:t>
      </w:r>
      <w:r>
        <w:rPr>
          <w:rFonts w:ascii="Tahoma" w:hAnsi="Tahoma" w:cs="Tahoma"/>
          <w:sz w:val="24"/>
          <w:szCs w:val="24"/>
        </w:rPr>
        <w:t xml:space="preserve"> </w:t>
      </w:r>
    </w:p>
    <w:p w14:paraId="0EF0496D" w14:textId="6CAD957C" w:rsidR="00B11741" w:rsidRDefault="00265E38" w:rsidP="00A0148F">
      <w:pPr>
        <w:spacing w:line="360" w:lineRule="auto"/>
        <w:ind w:firstLine="708"/>
        <w:jc w:val="both"/>
        <w:rPr>
          <w:rFonts w:ascii="Tahoma" w:hAnsi="Tahoma" w:cs="Tahoma"/>
          <w:sz w:val="24"/>
          <w:szCs w:val="24"/>
        </w:rPr>
      </w:pPr>
      <w:r w:rsidRPr="00524DF3">
        <w:rPr>
          <w:rFonts w:ascii="Tahoma" w:hAnsi="Tahoma" w:cs="Tahoma"/>
          <w:i/>
          <w:iCs/>
          <w:sz w:val="24"/>
          <w:szCs w:val="24"/>
        </w:rPr>
        <w:t>Los mayorazgos</w:t>
      </w:r>
      <w:r>
        <w:rPr>
          <w:rFonts w:ascii="Tahoma" w:hAnsi="Tahoma" w:cs="Tahoma"/>
          <w:sz w:val="24"/>
          <w:szCs w:val="24"/>
        </w:rPr>
        <w:t>, que suponían la acumulación del patrimonio (en principio procedente de donaciones reales</w:t>
      </w:r>
      <w:r>
        <w:rPr>
          <w:rStyle w:val="Refdenotaalpie"/>
          <w:rFonts w:ascii="Tahoma" w:hAnsi="Tahoma" w:cs="Tahoma"/>
          <w:sz w:val="24"/>
          <w:szCs w:val="24"/>
        </w:rPr>
        <w:footnoteReference w:id="13"/>
      </w:r>
      <w:r>
        <w:rPr>
          <w:rFonts w:ascii="Tahoma" w:hAnsi="Tahoma" w:cs="Tahoma"/>
          <w:sz w:val="24"/>
          <w:szCs w:val="24"/>
        </w:rPr>
        <w:t>) en el primogénito tuvieron su apogeo en los reinos de Castilla, Aragón y Cataluña, a mediados del siglo X</w:t>
      </w:r>
      <w:r w:rsidR="00813BA4">
        <w:rPr>
          <w:rFonts w:ascii="Tahoma" w:hAnsi="Tahoma" w:cs="Tahoma"/>
          <w:sz w:val="24"/>
          <w:szCs w:val="24"/>
        </w:rPr>
        <w:t>VI</w:t>
      </w:r>
      <w:r>
        <w:rPr>
          <w:rFonts w:ascii="Tahoma" w:hAnsi="Tahoma" w:cs="Tahoma"/>
          <w:sz w:val="24"/>
          <w:szCs w:val="24"/>
        </w:rPr>
        <w:t>, pero fueron abolidos por la Ley de 11 de octubre de 1820.</w:t>
      </w:r>
    </w:p>
    <w:p w14:paraId="239F8079" w14:textId="39ADFAE8" w:rsidR="00265E38" w:rsidRDefault="00265E38" w:rsidP="00A0148F">
      <w:pPr>
        <w:spacing w:line="360" w:lineRule="auto"/>
        <w:ind w:firstLine="708"/>
        <w:jc w:val="both"/>
        <w:rPr>
          <w:rFonts w:ascii="Tahoma" w:hAnsi="Tahoma" w:cs="Tahoma"/>
          <w:sz w:val="24"/>
          <w:szCs w:val="24"/>
        </w:rPr>
      </w:pPr>
      <w:r>
        <w:rPr>
          <w:rFonts w:ascii="Tahoma" w:hAnsi="Tahoma" w:cs="Tahoma"/>
          <w:sz w:val="24"/>
          <w:szCs w:val="24"/>
        </w:rPr>
        <w:t xml:space="preserve">En la </w:t>
      </w:r>
      <w:r w:rsidRPr="00524DF3">
        <w:rPr>
          <w:rFonts w:ascii="Tahoma" w:hAnsi="Tahoma" w:cs="Tahoma"/>
          <w:i/>
          <w:iCs/>
          <w:sz w:val="24"/>
          <w:szCs w:val="24"/>
        </w:rPr>
        <w:t>época codificadora</w:t>
      </w:r>
      <w:r>
        <w:rPr>
          <w:rFonts w:ascii="Tahoma" w:hAnsi="Tahoma" w:cs="Tahoma"/>
          <w:sz w:val="24"/>
          <w:szCs w:val="24"/>
        </w:rPr>
        <w:t xml:space="preserve">, destaca el </w:t>
      </w:r>
      <w:r w:rsidRPr="00524DF3">
        <w:rPr>
          <w:rFonts w:ascii="Tahoma" w:hAnsi="Tahoma" w:cs="Tahoma"/>
          <w:i/>
          <w:iCs/>
          <w:sz w:val="24"/>
          <w:szCs w:val="24"/>
        </w:rPr>
        <w:t>Proyecto de 1851</w:t>
      </w:r>
      <w:r>
        <w:rPr>
          <w:rFonts w:ascii="Tahoma" w:hAnsi="Tahoma" w:cs="Tahoma"/>
          <w:sz w:val="24"/>
          <w:szCs w:val="24"/>
        </w:rPr>
        <w:t xml:space="preserve"> (Proyecto de García Goyena o isabelino)</w:t>
      </w:r>
      <w:r w:rsidR="00FB40E3">
        <w:rPr>
          <w:rFonts w:ascii="Tahoma" w:hAnsi="Tahoma" w:cs="Tahoma"/>
          <w:sz w:val="24"/>
          <w:szCs w:val="24"/>
        </w:rPr>
        <w:t>, que incluía a los descendientes y ascendientes legítimos como herederos forzosos, siendo la cuantía de cuatro quintos o de dos tercios, en el caso de que concurrieran dos o más descendientes o uno solo, respectivamente; en defecto de descendientes, se establecía la legítima de los ascendientes en dos tercios o en la mitad, según concurrieran dos o más o uno solo, respectivamente.</w:t>
      </w:r>
    </w:p>
    <w:p w14:paraId="1128002A" w14:textId="0C58F23C" w:rsidR="00524DF3" w:rsidRDefault="000B1B3F" w:rsidP="00A0148F">
      <w:pPr>
        <w:spacing w:line="360" w:lineRule="auto"/>
        <w:ind w:firstLine="708"/>
        <w:jc w:val="both"/>
        <w:rPr>
          <w:rFonts w:ascii="Tahoma" w:hAnsi="Tahoma" w:cs="Tahoma"/>
          <w:sz w:val="24"/>
          <w:szCs w:val="24"/>
        </w:rPr>
      </w:pPr>
      <w:r>
        <w:rPr>
          <w:rFonts w:ascii="Tahoma" w:hAnsi="Tahoma" w:cs="Tahoma"/>
          <w:sz w:val="24"/>
          <w:szCs w:val="24"/>
        </w:rPr>
        <w:t xml:space="preserve">El fracaso de dicho Proyecto dio paso a la </w:t>
      </w:r>
      <w:r w:rsidRPr="00524DF3">
        <w:rPr>
          <w:rFonts w:ascii="Tahoma" w:hAnsi="Tahoma" w:cs="Tahoma"/>
          <w:i/>
          <w:iCs/>
          <w:sz w:val="24"/>
          <w:szCs w:val="24"/>
        </w:rPr>
        <w:t>Ley de Bases de 1888</w:t>
      </w:r>
      <w:r>
        <w:rPr>
          <w:rFonts w:ascii="Tahoma" w:hAnsi="Tahoma" w:cs="Tahoma"/>
          <w:sz w:val="24"/>
          <w:szCs w:val="24"/>
        </w:rPr>
        <w:t xml:space="preserve">, que </w:t>
      </w:r>
      <w:r w:rsidR="00813BA4">
        <w:rPr>
          <w:rFonts w:ascii="Tahoma" w:hAnsi="Tahoma" w:cs="Tahoma"/>
          <w:sz w:val="24"/>
          <w:szCs w:val="24"/>
        </w:rPr>
        <w:t>cristalizó en el</w:t>
      </w:r>
      <w:r>
        <w:rPr>
          <w:rFonts w:ascii="Tahoma" w:hAnsi="Tahoma" w:cs="Tahoma"/>
          <w:sz w:val="24"/>
          <w:szCs w:val="24"/>
        </w:rPr>
        <w:t xml:space="preserve"> Código Civil</w:t>
      </w:r>
      <w:r w:rsidR="00524DF3">
        <w:rPr>
          <w:rStyle w:val="Refdenotaalpie"/>
          <w:rFonts w:ascii="Tahoma" w:hAnsi="Tahoma" w:cs="Tahoma"/>
          <w:sz w:val="24"/>
          <w:szCs w:val="24"/>
        </w:rPr>
        <w:footnoteReference w:id="14"/>
      </w:r>
      <w:r>
        <w:rPr>
          <w:rFonts w:ascii="Tahoma" w:hAnsi="Tahoma" w:cs="Tahoma"/>
          <w:sz w:val="24"/>
          <w:szCs w:val="24"/>
        </w:rPr>
        <w:t>. En la elaboración de esta Ley, en cuanto a la libertad de testar y las legítimas</w:t>
      </w:r>
      <w:r w:rsidR="00975B92">
        <w:rPr>
          <w:rStyle w:val="Refdenotaalpie"/>
          <w:rFonts w:ascii="Tahoma" w:hAnsi="Tahoma" w:cs="Tahoma"/>
          <w:sz w:val="24"/>
          <w:szCs w:val="24"/>
        </w:rPr>
        <w:footnoteReference w:id="15"/>
      </w:r>
      <w:r>
        <w:rPr>
          <w:rFonts w:ascii="Tahoma" w:hAnsi="Tahoma" w:cs="Tahoma"/>
          <w:sz w:val="24"/>
          <w:szCs w:val="24"/>
        </w:rPr>
        <w:t>, surgieron dos posturas totalmente enfrentadas</w:t>
      </w:r>
      <w:r w:rsidR="00975B92">
        <w:rPr>
          <w:rFonts w:ascii="Tahoma" w:hAnsi="Tahoma" w:cs="Tahoma"/>
          <w:sz w:val="24"/>
          <w:szCs w:val="24"/>
        </w:rPr>
        <w:t xml:space="preserve">: la encabezada por ALONSO MARTÍNEZ en defensa de la legítima, y la defendida por otros (como AZCÁRATE, GINER DE LOS RÍOS, JOAQUÍN COSTA), a favor de la libertad de testar. </w:t>
      </w:r>
    </w:p>
    <w:p w14:paraId="4686BD4D" w14:textId="2F587E40" w:rsidR="00524DF3" w:rsidRDefault="00975B92" w:rsidP="00A0148F">
      <w:pPr>
        <w:spacing w:line="360" w:lineRule="auto"/>
        <w:ind w:firstLine="708"/>
        <w:jc w:val="both"/>
        <w:rPr>
          <w:rFonts w:ascii="Tahoma" w:hAnsi="Tahoma" w:cs="Tahoma"/>
          <w:sz w:val="24"/>
          <w:szCs w:val="24"/>
        </w:rPr>
      </w:pPr>
      <w:r>
        <w:rPr>
          <w:rFonts w:ascii="Tahoma" w:hAnsi="Tahoma" w:cs="Tahoma"/>
          <w:sz w:val="24"/>
          <w:szCs w:val="24"/>
        </w:rPr>
        <w:t>Hay que tener en cuenta el contexto social y económico de finales del siglo XIX</w:t>
      </w:r>
      <w:r w:rsidR="00813BA4">
        <w:rPr>
          <w:rFonts w:ascii="Tahoma" w:hAnsi="Tahoma" w:cs="Tahoma"/>
          <w:sz w:val="24"/>
          <w:szCs w:val="24"/>
        </w:rPr>
        <w:t xml:space="preserve">, caracterizado por la </w:t>
      </w:r>
      <w:r>
        <w:rPr>
          <w:rFonts w:ascii="Tahoma" w:hAnsi="Tahoma" w:cs="Tahoma"/>
          <w:sz w:val="24"/>
          <w:szCs w:val="24"/>
        </w:rPr>
        <w:t>fortaleza de la familia y cohesión de ésta en torno al valor patrimonial fundamental, la tierra, en una sociedad primordialmente agraria.</w:t>
      </w:r>
    </w:p>
    <w:p w14:paraId="4A0E2412" w14:textId="77777777" w:rsidR="00813BA4" w:rsidRDefault="00975B92" w:rsidP="00A0148F">
      <w:pPr>
        <w:spacing w:line="360" w:lineRule="auto"/>
        <w:ind w:firstLine="708"/>
        <w:jc w:val="both"/>
        <w:rPr>
          <w:rFonts w:ascii="Tahoma" w:hAnsi="Tahoma" w:cs="Tahoma"/>
          <w:sz w:val="24"/>
          <w:szCs w:val="24"/>
        </w:rPr>
      </w:pPr>
      <w:r>
        <w:rPr>
          <w:rFonts w:ascii="Tahoma" w:hAnsi="Tahoma" w:cs="Tahoma"/>
          <w:sz w:val="24"/>
          <w:szCs w:val="24"/>
        </w:rPr>
        <w:lastRenderedPageBreak/>
        <w:t xml:space="preserve"> A favor de la legítima se argumentó: 1.-</w:t>
      </w:r>
      <w:r w:rsidR="00FF6E56">
        <w:rPr>
          <w:rFonts w:ascii="Tahoma" w:hAnsi="Tahoma" w:cs="Tahoma"/>
          <w:sz w:val="24"/>
          <w:szCs w:val="24"/>
        </w:rPr>
        <w:t>La igualdad de los hijos (“la naturaleza ha hecho esencialmente iguales a los hermanos”)</w:t>
      </w:r>
      <w:r w:rsidR="00FF6E56">
        <w:rPr>
          <w:rStyle w:val="Refdenotaalpie"/>
          <w:rFonts w:ascii="Tahoma" w:hAnsi="Tahoma" w:cs="Tahoma"/>
          <w:sz w:val="24"/>
          <w:szCs w:val="24"/>
        </w:rPr>
        <w:footnoteReference w:id="16"/>
      </w:r>
      <w:r w:rsidR="00FF6E56">
        <w:rPr>
          <w:rFonts w:ascii="Tahoma" w:hAnsi="Tahoma" w:cs="Tahoma"/>
          <w:sz w:val="24"/>
          <w:szCs w:val="24"/>
        </w:rPr>
        <w:t>. 2.-Razones basadas en la protección de la familia (“no es justo… un sistema que permite enriquecer a un extraño a expensas de la familia”)</w:t>
      </w:r>
      <w:r w:rsidR="00FF6E56">
        <w:rPr>
          <w:rStyle w:val="Refdenotaalpie"/>
          <w:rFonts w:ascii="Tahoma" w:hAnsi="Tahoma" w:cs="Tahoma"/>
          <w:sz w:val="24"/>
          <w:szCs w:val="24"/>
        </w:rPr>
        <w:footnoteReference w:id="17"/>
      </w:r>
      <w:r w:rsidR="00FF6E56">
        <w:rPr>
          <w:rFonts w:ascii="Tahoma" w:hAnsi="Tahoma" w:cs="Tahoma"/>
          <w:sz w:val="24"/>
          <w:szCs w:val="24"/>
        </w:rPr>
        <w:t>. 3.-Razones basadas en los deberes de paternidad</w:t>
      </w:r>
      <w:r w:rsidR="009C41F9">
        <w:rPr>
          <w:rStyle w:val="Refdenotaalpie"/>
          <w:rFonts w:ascii="Tahoma" w:hAnsi="Tahoma" w:cs="Tahoma"/>
          <w:sz w:val="24"/>
          <w:szCs w:val="24"/>
        </w:rPr>
        <w:footnoteReference w:id="18"/>
      </w:r>
      <w:r w:rsidR="00FF6E56">
        <w:rPr>
          <w:rFonts w:ascii="Tahoma" w:hAnsi="Tahoma" w:cs="Tahoma"/>
          <w:sz w:val="24"/>
          <w:szCs w:val="24"/>
        </w:rPr>
        <w:t xml:space="preserve">. 4.-Las legítimas favorecen la movilización de la propiedad, mientras que la libertad de testar la impide. 5. La necesidad de retribuir a la familia por su participación en la obtención del patrimonio. </w:t>
      </w:r>
    </w:p>
    <w:p w14:paraId="6EA315E9" w14:textId="70F0342A" w:rsidR="005C200E" w:rsidRDefault="00FF6E56" w:rsidP="00A0148F">
      <w:pPr>
        <w:spacing w:line="360" w:lineRule="auto"/>
        <w:ind w:firstLine="708"/>
        <w:jc w:val="both"/>
        <w:rPr>
          <w:rFonts w:ascii="Tahoma" w:hAnsi="Tahoma" w:cs="Tahoma"/>
          <w:sz w:val="24"/>
          <w:szCs w:val="24"/>
        </w:rPr>
      </w:pPr>
      <w:r>
        <w:rPr>
          <w:rFonts w:ascii="Tahoma" w:hAnsi="Tahoma" w:cs="Tahoma"/>
          <w:sz w:val="24"/>
          <w:szCs w:val="24"/>
        </w:rPr>
        <w:t>Aunque los argumentos utilizados a favor de la libertad de testar eran sólidos, al final prevaleció la posición que defendía las legítimas.</w:t>
      </w:r>
    </w:p>
    <w:p w14:paraId="4A75A490" w14:textId="16BB34E4" w:rsidR="00A33504" w:rsidRPr="00A33504" w:rsidRDefault="00A33504" w:rsidP="00A33504">
      <w:pPr>
        <w:pStyle w:val="Prrafodelista"/>
        <w:numPr>
          <w:ilvl w:val="0"/>
          <w:numId w:val="3"/>
        </w:numPr>
        <w:spacing w:line="360" w:lineRule="auto"/>
        <w:jc w:val="both"/>
        <w:rPr>
          <w:rFonts w:ascii="Tahoma" w:hAnsi="Tahoma" w:cs="Tahoma"/>
          <w:b/>
          <w:bCs/>
          <w:sz w:val="24"/>
          <w:szCs w:val="24"/>
        </w:rPr>
      </w:pPr>
      <w:r w:rsidRPr="00A33504">
        <w:rPr>
          <w:rFonts w:ascii="Tahoma" w:hAnsi="Tahoma" w:cs="Tahoma"/>
          <w:b/>
          <w:bCs/>
          <w:sz w:val="24"/>
          <w:szCs w:val="24"/>
        </w:rPr>
        <w:t>Las legítimas en España.</w:t>
      </w:r>
    </w:p>
    <w:p w14:paraId="38C17A70" w14:textId="77777777" w:rsidR="00B85829" w:rsidRDefault="009C41F9" w:rsidP="00A0148F">
      <w:pPr>
        <w:spacing w:line="360" w:lineRule="auto"/>
        <w:ind w:firstLine="708"/>
        <w:jc w:val="both"/>
        <w:rPr>
          <w:rFonts w:ascii="Tahoma" w:hAnsi="Tahoma" w:cs="Tahoma"/>
          <w:sz w:val="24"/>
          <w:szCs w:val="24"/>
        </w:rPr>
      </w:pPr>
      <w:r>
        <w:rPr>
          <w:rFonts w:ascii="Tahoma" w:hAnsi="Tahoma" w:cs="Tahoma"/>
          <w:sz w:val="24"/>
          <w:szCs w:val="24"/>
        </w:rPr>
        <w:t xml:space="preserve">El </w:t>
      </w:r>
      <w:r w:rsidRPr="00660EA0">
        <w:rPr>
          <w:rFonts w:ascii="Tahoma" w:hAnsi="Tahoma" w:cs="Tahoma"/>
          <w:i/>
          <w:iCs/>
          <w:sz w:val="24"/>
          <w:szCs w:val="24"/>
        </w:rPr>
        <w:t>Código Civil vigente</w:t>
      </w:r>
      <w:r>
        <w:rPr>
          <w:rFonts w:ascii="Tahoma" w:hAnsi="Tahoma" w:cs="Tahoma"/>
          <w:sz w:val="24"/>
          <w:szCs w:val="24"/>
        </w:rPr>
        <w:t xml:space="preserve"> considera legitimarios a los hijos y descendientes respecto de sus padres y ascendientes; a falta de los anteriores, los padres y ascendientes respecto de sus hijos y descendientes; y el viudo o viuda, en la forma fijada legalmente (artículo 807). </w:t>
      </w:r>
    </w:p>
    <w:p w14:paraId="4944A132" w14:textId="77777777" w:rsidR="00B85829" w:rsidRDefault="009C41F9" w:rsidP="00A0148F">
      <w:pPr>
        <w:spacing w:line="360" w:lineRule="auto"/>
        <w:ind w:firstLine="708"/>
        <w:jc w:val="both"/>
        <w:rPr>
          <w:rFonts w:ascii="Tahoma" w:hAnsi="Tahoma" w:cs="Tahoma"/>
          <w:sz w:val="24"/>
          <w:szCs w:val="24"/>
        </w:rPr>
      </w:pPr>
      <w:r>
        <w:rPr>
          <w:rFonts w:ascii="Tahoma" w:hAnsi="Tahoma" w:cs="Tahoma"/>
          <w:sz w:val="24"/>
          <w:szCs w:val="24"/>
        </w:rPr>
        <w:t xml:space="preserve">La legítima de los hijos y descendientes es de dos terceras partes del haber hereditario de los progenitores (legítima larga), si bien podrán éstos disponer de una parte de las dos que forman la legítima, para aplicarla como mejora a sus hijos o descendientes, siendo la tercera parte restante de libre disposición (artículo 808). </w:t>
      </w:r>
    </w:p>
    <w:p w14:paraId="47D5D24F" w14:textId="77777777" w:rsidR="00B85829" w:rsidRDefault="009C41F9" w:rsidP="00A0148F">
      <w:pPr>
        <w:spacing w:line="360" w:lineRule="auto"/>
        <w:ind w:firstLine="708"/>
        <w:jc w:val="both"/>
        <w:rPr>
          <w:rFonts w:ascii="Tahoma" w:hAnsi="Tahoma" w:cs="Tahoma"/>
          <w:sz w:val="24"/>
          <w:szCs w:val="24"/>
        </w:rPr>
      </w:pPr>
      <w:r>
        <w:rPr>
          <w:rFonts w:ascii="Tahoma" w:hAnsi="Tahoma" w:cs="Tahoma"/>
          <w:sz w:val="24"/>
          <w:szCs w:val="24"/>
        </w:rPr>
        <w:t>La legítima de los padres o ascendientes es la mitad del haber hereditario, salvo el caso de concurrencia con el cónyuge viudo del descendiente causante, que será de una tercera parte (artículo 809)</w:t>
      </w:r>
      <w:r w:rsidR="001E5A52">
        <w:rPr>
          <w:rFonts w:ascii="Tahoma" w:hAnsi="Tahoma" w:cs="Tahoma"/>
          <w:sz w:val="24"/>
          <w:szCs w:val="24"/>
        </w:rPr>
        <w:t xml:space="preserve">. </w:t>
      </w:r>
    </w:p>
    <w:p w14:paraId="3CB17AB7" w14:textId="05695AB5" w:rsidR="009C41F9" w:rsidRDefault="001E5A52" w:rsidP="00A0148F">
      <w:pPr>
        <w:spacing w:line="360" w:lineRule="auto"/>
        <w:ind w:firstLine="708"/>
        <w:jc w:val="both"/>
        <w:rPr>
          <w:rFonts w:ascii="Tahoma" w:hAnsi="Tahoma" w:cs="Tahoma"/>
          <w:sz w:val="24"/>
          <w:szCs w:val="24"/>
        </w:rPr>
      </w:pPr>
      <w:r>
        <w:rPr>
          <w:rFonts w:ascii="Tahoma" w:hAnsi="Tahoma" w:cs="Tahoma"/>
          <w:sz w:val="24"/>
          <w:szCs w:val="24"/>
        </w:rPr>
        <w:t xml:space="preserve">La legítima del cónyuge viudo no separado está constituida por el usufructo del tercio de mejora, si concurre con hijos o descendientes; si no existen descendientes, pero sí ascendientes, tendrá derecho al usufructo de la </w:t>
      </w:r>
      <w:r>
        <w:rPr>
          <w:rFonts w:ascii="Tahoma" w:hAnsi="Tahoma" w:cs="Tahoma"/>
          <w:sz w:val="24"/>
          <w:szCs w:val="24"/>
        </w:rPr>
        <w:lastRenderedPageBreak/>
        <w:t>mitad de la herencia; y al usufructo de dos tercios de la herencia si no existen descendientes ni ascendientes (artículos 834, 837 y 838). No obstante, cabe su conmutación, pues los herederos pueden satisfacer al cónyuge su parte de usufructo, asignándole una renta vitalicia, los productos de determinados bienes, o un capital en efectivo, procediendo de mutuo acuerdo y, en su defecto, por virtud de mandato judicial (artículo 839).</w:t>
      </w:r>
    </w:p>
    <w:p w14:paraId="08E08B1E" w14:textId="506EF5B5" w:rsidR="001E5A52" w:rsidRDefault="001E5A52" w:rsidP="00A0148F">
      <w:pPr>
        <w:spacing w:line="360" w:lineRule="auto"/>
        <w:ind w:firstLine="708"/>
        <w:jc w:val="both"/>
        <w:rPr>
          <w:rFonts w:ascii="Tahoma" w:hAnsi="Tahoma" w:cs="Tahoma"/>
          <w:sz w:val="24"/>
          <w:szCs w:val="24"/>
        </w:rPr>
      </w:pPr>
      <w:r>
        <w:rPr>
          <w:rFonts w:ascii="Tahoma" w:hAnsi="Tahoma" w:cs="Tahoma"/>
          <w:sz w:val="24"/>
          <w:szCs w:val="24"/>
        </w:rPr>
        <w:t>Desde su publicación en 1889, el Código Civil ha sido objeto de diversas reformas, entre las que cabe destacar</w:t>
      </w:r>
      <w:r w:rsidR="00A21FFA">
        <w:rPr>
          <w:rFonts w:ascii="Tahoma" w:hAnsi="Tahoma" w:cs="Tahoma"/>
          <w:sz w:val="24"/>
          <w:szCs w:val="24"/>
        </w:rPr>
        <w:t>, en lo que aquí nos afecta,</w:t>
      </w:r>
      <w:r>
        <w:rPr>
          <w:rFonts w:ascii="Tahoma" w:hAnsi="Tahoma" w:cs="Tahoma"/>
          <w:sz w:val="24"/>
          <w:szCs w:val="24"/>
        </w:rPr>
        <w:t xml:space="preserve"> las siguientes: la Ley de 24 de abril de 1958, en cuanto a los legitimarios; la Ley de </w:t>
      </w:r>
      <w:r w:rsidR="00543FEC">
        <w:rPr>
          <w:rFonts w:ascii="Tahoma" w:hAnsi="Tahoma" w:cs="Tahoma"/>
          <w:sz w:val="24"/>
          <w:szCs w:val="24"/>
        </w:rPr>
        <w:t>4 de julio de 1970, en cuanto a la cuantía; la de 13 de mayo de 1981, que, en cumplimiento de lo dispuesto en la Constitución española de 1978,</w:t>
      </w:r>
      <w:r w:rsidR="00796454">
        <w:rPr>
          <w:rFonts w:ascii="Tahoma" w:hAnsi="Tahoma" w:cs="Tahoma"/>
          <w:sz w:val="24"/>
          <w:szCs w:val="24"/>
        </w:rPr>
        <w:t xml:space="preserve"> establece la igualdad de los hijos, con independencia de su carácter matrimonial o extramatrimonial</w:t>
      </w:r>
      <w:r w:rsidR="00CA7704">
        <w:rPr>
          <w:rFonts w:ascii="Tahoma" w:hAnsi="Tahoma" w:cs="Tahoma"/>
          <w:sz w:val="24"/>
          <w:szCs w:val="24"/>
        </w:rPr>
        <w:t>, introduciendo la posibilidad de pago en metálico de los hijos o descendientes (artículos 841 a 847)</w:t>
      </w:r>
      <w:r w:rsidR="00796454">
        <w:rPr>
          <w:rFonts w:ascii="Tahoma" w:hAnsi="Tahoma" w:cs="Tahoma"/>
          <w:sz w:val="24"/>
          <w:szCs w:val="24"/>
        </w:rPr>
        <w:t>; la Ley 41/2003, de 18 de noviembre, que introduce algunas mejoras en la protección de las personas con discapacidad</w:t>
      </w:r>
      <w:r w:rsidR="00755128">
        <w:rPr>
          <w:rFonts w:ascii="Tahoma" w:hAnsi="Tahoma" w:cs="Tahoma"/>
          <w:sz w:val="24"/>
          <w:szCs w:val="24"/>
        </w:rPr>
        <w:t>, como la de añadir como causa de indignidad para suceder, tratándose de una persona con discapacidad, no haberle prestado las atenciones debidas, entendiendo por tales las de los artículos 142 y 146 (artículo 756.7º)</w:t>
      </w:r>
      <w:r w:rsidR="00CA7704">
        <w:rPr>
          <w:rFonts w:ascii="Tahoma" w:hAnsi="Tahoma" w:cs="Tahoma"/>
          <w:sz w:val="24"/>
          <w:szCs w:val="24"/>
        </w:rPr>
        <w:t>, o la ampliación de la fiducia sucesoria del cónyuge viudo</w:t>
      </w:r>
      <w:r w:rsidR="00660EA0">
        <w:rPr>
          <w:rFonts w:ascii="Tahoma" w:hAnsi="Tahoma" w:cs="Tahoma"/>
          <w:sz w:val="24"/>
          <w:szCs w:val="24"/>
        </w:rPr>
        <w:t xml:space="preserve"> del artículo 831</w:t>
      </w:r>
      <w:r w:rsidR="00CA7704">
        <w:rPr>
          <w:rFonts w:ascii="Tahoma" w:hAnsi="Tahoma" w:cs="Tahoma"/>
          <w:sz w:val="24"/>
          <w:szCs w:val="24"/>
        </w:rPr>
        <w:t>, respecto de los hijos o descendientes comunes, siendo aplicable incluso aunque los progenitores no estén casados entre sí</w:t>
      </w:r>
      <w:r w:rsidR="00796454">
        <w:rPr>
          <w:rFonts w:ascii="Tahoma" w:hAnsi="Tahoma" w:cs="Tahoma"/>
          <w:sz w:val="24"/>
          <w:szCs w:val="24"/>
        </w:rPr>
        <w:t xml:space="preserve">; la Ley 15/2005, de 8 de julio, que excluye al cónyuge separado de hecho como legitimario y como llamado abintestato (artículos 834 y 945); </w:t>
      </w:r>
      <w:r w:rsidR="00060E60">
        <w:rPr>
          <w:rFonts w:ascii="Tahoma" w:hAnsi="Tahoma" w:cs="Tahoma"/>
          <w:sz w:val="24"/>
          <w:szCs w:val="24"/>
        </w:rPr>
        <w:t xml:space="preserve">la Ley </w:t>
      </w:r>
      <w:r w:rsidR="00460C29">
        <w:rPr>
          <w:rFonts w:ascii="Tahoma" w:hAnsi="Tahoma" w:cs="Tahoma"/>
          <w:sz w:val="24"/>
          <w:szCs w:val="24"/>
        </w:rPr>
        <w:t>15/2015, de 2 de julio, de Jurisdicción Voluntaria</w:t>
      </w:r>
      <w:r w:rsidR="00055918">
        <w:rPr>
          <w:rFonts w:ascii="Tahoma" w:hAnsi="Tahoma" w:cs="Tahoma"/>
          <w:sz w:val="24"/>
          <w:szCs w:val="24"/>
        </w:rPr>
        <w:t>, que establece la posibilidad de acudir al notario para el nombramiento de contador partidor dativo, a petición de herederos y legatarios que representen, al menos, el cincuenta por ciento del haber hereditario</w:t>
      </w:r>
      <w:r w:rsidR="00A21FFA">
        <w:rPr>
          <w:rFonts w:ascii="Tahoma" w:hAnsi="Tahoma" w:cs="Tahoma"/>
          <w:sz w:val="24"/>
          <w:szCs w:val="24"/>
        </w:rPr>
        <w:t xml:space="preserve">; y, por último, la Ley </w:t>
      </w:r>
      <w:r w:rsidR="0050485D">
        <w:rPr>
          <w:rFonts w:ascii="Tahoma" w:hAnsi="Tahoma" w:cs="Tahoma"/>
          <w:sz w:val="24"/>
          <w:szCs w:val="24"/>
        </w:rPr>
        <w:t>8</w:t>
      </w:r>
      <w:r w:rsidR="00A21FFA">
        <w:rPr>
          <w:rFonts w:ascii="Tahoma" w:hAnsi="Tahoma" w:cs="Tahoma"/>
          <w:sz w:val="24"/>
          <w:szCs w:val="24"/>
        </w:rPr>
        <w:t>/2021, de 2 de junio</w:t>
      </w:r>
      <w:r w:rsidR="00055918">
        <w:rPr>
          <w:rFonts w:ascii="Tahoma" w:hAnsi="Tahoma" w:cs="Tahoma"/>
          <w:sz w:val="24"/>
          <w:szCs w:val="24"/>
        </w:rPr>
        <w:t>, que modifica el artículo 808, permitiendo la disposición de la legítima estricta de los legitimarios sin discapacidad a favor del legitimario -hijo- en situación de discapacidad</w:t>
      </w:r>
      <w:r w:rsidR="00A21FFA">
        <w:rPr>
          <w:rFonts w:ascii="Tahoma" w:hAnsi="Tahoma" w:cs="Tahoma"/>
          <w:sz w:val="24"/>
          <w:szCs w:val="24"/>
        </w:rPr>
        <w:t>.</w:t>
      </w:r>
    </w:p>
    <w:p w14:paraId="30FAC352" w14:textId="2E412BFB" w:rsidR="00055918" w:rsidRPr="00E227A6" w:rsidRDefault="00055918" w:rsidP="00A0148F">
      <w:pPr>
        <w:spacing w:line="360" w:lineRule="auto"/>
        <w:ind w:firstLine="708"/>
        <w:jc w:val="both"/>
        <w:rPr>
          <w:rFonts w:ascii="Tahoma" w:hAnsi="Tahoma" w:cs="Tahoma"/>
          <w:sz w:val="24"/>
          <w:szCs w:val="24"/>
        </w:rPr>
      </w:pPr>
      <w:r>
        <w:rPr>
          <w:rFonts w:ascii="Tahoma" w:hAnsi="Tahoma" w:cs="Tahoma"/>
          <w:sz w:val="24"/>
          <w:szCs w:val="24"/>
        </w:rPr>
        <w:t>La legítima</w:t>
      </w:r>
      <w:r w:rsidR="001C7E6F">
        <w:rPr>
          <w:rFonts w:ascii="Tahoma" w:hAnsi="Tahoma" w:cs="Tahoma"/>
          <w:sz w:val="24"/>
          <w:szCs w:val="24"/>
        </w:rPr>
        <w:t xml:space="preserve">, en el Código Civil español, </w:t>
      </w:r>
      <w:r w:rsidR="001C7E6F" w:rsidRPr="00B71BCA">
        <w:rPr>
          <w:rFonts w:ascii="Tahoma" w:hAnsi="Tahoma" w:cs="Tahoma"/>
          <w:i/>
          <w:iCs/>
          <w:sz w:val="24"/>
          <w:szCs w:val="24"/>
        </w:rPr>
        <w:t>se configura como “pars bonorum</w:t>
      </w:r>
      <w:r w:rsidR="001C7E6F">
        <w:rPr>
          <w:rFonts w:ascii="Tahoma" w:hAnsi="Tahoma" w:cs="Tahoma"/>
          <w:sz w:val="24"/>
          <w:szCs w:val="24"/>
        </w:rPr>
        <w:t xml:space="preserve">”, con las excepciones de pago en metálico de los artículos 841 a 847 y 1056, </w:t>
      </w:r>
      <w:r w:rsidR="001C7E6F">
        <w:rPr>
          <w:rFonts w:ascii="Tahoma" w:hAnsi="Tahoma" w:cs="Tahoma"/>
          <w:sz w:val="24"/>
          <w:szCs w:val="24"/>
        </w:rPr>
        <w:lastRenderedPageBreak/>
        <w:t>párrafo segundo (conservación de la empresa o explotación económica), sin que quepa privar de la misma sino por las causas de desheredación contempladas en los artículos 853 a 855, caracterizándose por su intangibilidad cuantitativa y cualitativa (con las excepciones introducidas, respecto de los hijos con discapacidad, por la ley 8/2021)</w:t>
      </w:r>
    </w:p>
    <w:p w14:paraId="4E4A47F6" w14:textId="77777777" w:rsidR="00731C72" w:rsidRDefault="008F5DB6" w:rsidP="00240520">
      <w:pPr>
        <w:spacing w:line="360" w:lineRule="auto"/>
        <w:jc w:val="both"/>
        <w:rPr>
          <w:rFonts w:ascii="Tahoma" w:hAnsi="Tahoma" w:cs="Tahoma"/>
          <w:sz w:val="24"/>
          <w:szCs w:val="24"/>
        </w:rPr>
      </w:pPr>
      <w:r>
        <w:rPr>
          <w:rFonts w:ascii="Tahoma" w:hAnsi="Tahoma" w:cs="Tahoma"/>
          <w:sz w:val="24"/>
          <w:szCs w:val="24"/>
        </w:rPr>
        <w:tab/>
        <w:t xml:space="preserve">Distinta es la </w:t>
      </w:r>
      <w:r w:rsidRPr="00B71BCA">
        <w:rPr>
          <w:rFonts w:ascii="Tahoma" w:hAnsi="Tahoma" w:cs="Tahoma"/>
          <w:i/>
          <w:iCs/>
          <w:sz w:val="24"/>
          <w:szCs w:val="24"/>
        </w:rPr>
        <w:t>situación en las Comunidades Autónomas</w:t>
      </w:r>
      <w:r>
        <w:rPr>
          <w:rFonts w:ascii="Tahoma" w:hAnsi="Tahoma" w:cs="Tahoma"/>
          <w:sz w:val="24"/>
          <w:szCs w:val="24"/>
        </w:rPr>
        <w:t xml:space="preserve"> con derecho civil propio. Veámoslo. </w:t>
      </w:r>
    </w:p>
    <w:p w14:paraId="646D1673" w14:textId="77777777" w:rsidR="00B71BCA" w:rsidRDefault="00731C72" w:rsidP="00731C72">
      <w:pPr>
        <w:spacing w:line="360" w:lineRule="auto"/>
        <w:ind w:firstLine="708"/>
        <w:jc w:val="both"/>
        <w:rPr>
          <w:rFonts w:ascii="Tahoma" w:hAnsi="Tahoma" w:cs="Tahoma"/>
          <w:sz w:val="24"/>
          <w:szCs w:val="24"/>
        </w:rPr>
      </w:pPr>
      <w:r>
        <w:rPr>
          <w:rFonts w:ascii="Tahoma" w:hAnsi="Tahoma" w:cs="Tahoma"/>
          <w:sz w:val="24"/>
          <w:szCs w:val="24"/>
        </w:rPr>
        <w:t xml:space="preserve"> </w:t>
      </w:r>
      <w:r w:rsidR="008F5DB6">
        <w:rPr>
          <w:rFonts w:ascii="Tahoma" w:hAnsi="Tahoma" w:cs="Tahoma"/>
          <w:sz w:val="24"/>
          <w:szCs w:val="24"/>
        </w:rPr>
        <w:t xml:space="preserve">Existe </w:t>
      </w:r>
      <w:r w:rsidR="008F5DB6" w:rsidRPr="00B71BCA">
        <w:rPr>
          <w:rFonts w:ascii="Tahoma" w:hAnsi="Tahoma" w:cs="Tahoma"/>
          <w:i/>
          <w:iCs/>
          <w:sz w:val="24"/>
          <w:szCs w:val="24"/>
        </w:rPr>
        <w:t>libertad de testar</w:t>
      </w:r>
      <w:r w:rsidR="008F5DB6">
        <w:rPr>
          <w:rFonts w:ascii="Tahoma" w:hAnsi="Tahoma" w:cs="Tahoma"/>
          <w:sz w:val="24"/>
          <w:szCs w:val="24"/>
        </w:rPr>
        <w:t xml:space="preserve"> en los municipios y pueblos</w:t>
      </w:r>
      <w:r w:rsidR="001F06BE">
        <w:rPr>
          <w:rStyle w:val="Refdenotaalpie"/>
          <w:rFonts w:ascii="Tahoma" w:hAnsi="Tahoma" w:cs="Tahoma"/>
          <w:sz w:val="24"/>
          <w:szCs w:val="24"/>
        </w:rPr>
        <w:footnoteReference w:id="19"/>
      </w:r>
      <w:r w:rsidR="008F5DB6">
        <w:rPr>
          <w:rFonts w:ascii="Tahoma" w:hAnsi="Tahoma" w:cs="Tahoma"/>
          <w:sz w:val="24"/>
          <w:szCs w:val="24"/>
        </w:rPr>
        <w:t xml:space="preserve"> del País Vasco en los que rige el Fuero de Ayala (artículo 89 de la LDCV)</w:t>
      </w:r>
      <w:r w:rsidR="007D1518">
        <w:rPr>
          <w:rFonts w:ascii="Tahoma" w:hAnsi="Tahoma" w:cs="Tahoma"/>
          <w:sz w:val="24"/>
          <w:szCs w:val="24"/>
        </w:rPr>
        <w:t>.</w:t>
      </w:r>
    </w:p>
    <w:p w14:paraId="3EB6BC4D" w14:textId="548A9B1A" w:rsidR="003D4AF5" w:rsidRDefault="007D1518" w:rsidP="00731C72">
      <w:pPr>
        <w:spacing w:line="360" w:lineRule="auto"/>
        <w:ind w:firstLine="708"/>
        <w:jc w:val="both"/>
        <w:rPr>
          <w:rFonts w:ascii="Tahoma" w:hAnsi="Tahoma" w:cs="Tahoma"/>
          <w:sz w:val="24"/>
          <w:szCs w:val="24"/>
        </w:rPr>
      </w:pPr>
      <w:r>
        <w:rPr>
          <w:rFonts w:ascii="Tahoma" w:hAnsi="Tahoma" w:cs="Tahoma"/>
          <w:sz w:val="24"/>
          <w:szCs w:val="24"/>
        </w:rPr>
        <w:t xml:space="preserve"> En Navarra también existe libertad de testar, ya que la legítima de los descendientes se configura como una legítima formal</w:t>
      </w:r>
      <w:r w:rsidR="00FD2397">
        <w:rPr>
          <w:rStyle w:val="Refdenotaalpie"/>
          <w:rFonts w:ascii="Tahoma" w:hAnsi="Tahoma" w:cs="Tahoma"/>
          <w:sz w:val="24"/>
          <w:szCs w:val="24"/>
        </w:rPr>
        <w:footnoteReference w:id="20"/>
      </w:r>
      <w:r>
        <w:rPr>
          <w:rFonts w:ascii="Tahoma" w:hAnsi="Tahoma" w:cs="Tahoma"/>
          <w:sz w:val="24"/>
          <w:szCs w:val="24"/>
        </w:rPr>
        <w:t>, sin perjuicio del usufructo de viudedad.</w:t>
      </w:r>
    </w:p>
    <w:p w14:paraId="0FF8A18A" w14:textId="2E78105A" w:rsidR="005C00C3" w:rsidRDefault="005C00C3" w:rsidP="00240520">
      <w:pPr>
        <w:spacing w:line="360" w:lineRule="auto"/>
        <w:jc w:val="both"/>
        <w:rPr>
          <w:rFonts w:ascii="Tahoma" w:hAnsi="Tahoma" w:cs="Tahoma"/>
          <w:sz w:val="24"/>
          <w:szCs w:val="24"/>
        </w:rPr>
      </w:pPr>
      <w:r>
        <w:rPr>
          <w:rFonts w:ascii="Tahoma" w:hAnsi="Tahoma" w:cs="Tahoma"/>
          <w:sz w:val="24"/>
          <w:szCs w:val="24"/>
        </w:rPr>
        <w:tab/>
        <w:t xml:space="preserve">La </w:t>
      </w:r>
      <w:r w:rsidRPr="00B71BCA">
        <w:rPr>
          <w:rFonts w:ascii="Tahoma" w:hAnsi="Tahoma" w:cs="Tahoma"/>
          <w:i/>
          <w:iCs/>
          <w:sz w:val="24"/>
          <w:szCs w:val="24"/>
        </w:rPr>
        <w:t>legítima colectiva</w:t>
      </w:r>
      <w:r>
        <w:rPr>
          <w:rFonts w:ascii="Tahoma" w:hAnsi="Tahoma" w:cs="Tahoma"/>
          <w:sz w:val="24"/>
          <w:szCs w:val="24"/>
        </w:rPr>
        <w:t xml:space="preserve">, de libre distribución entre </w:t>
      </w:r>
      <w:r w:rsidR="00731C72">
        <w:rPr>
          <w:rFonts w:ascii="Tahoma" w:hAnsi="Tahoma" w:cs="Tahoma"/>
          <w:sz w:val="24"/>
          <w:szCs w:val="24"/>
        </w:rPr>
        <w:t xml:space="preserve">los </w:t>
      </w:r>
      <w:r>
        <w:rPr>
          <w:rFonts w:ascii="Tahoma" w:hAnsi="Tahoma" w:cs="Tahoma"/>
          <w:sz w:val="24"/>
          <w:szCs w:val="24"/>
        </w:rPr>
        <w:t xml:space="preserve">descendientes, </w:t>
      </w:r>
      <w:r w:rsidR="00731C72">
        <w:rPr>
          <w:rFonts w:ascii="Tahoma" w:hAnsi="Tahoma" w:cs="Tahoma"/>
          <w:sz w:val="24"/>
          <w:szCs w:val="24"/>
        </w:rPr>
        <w:t>se regula en Aragón (de una mitad</w:t>
      </w:r>
      <w:r w:rsidR="00731C72">
        <w:rPr>
          <w:rStyle w:val="Refdenotaalpie"/>
          <w:rFonts w:ascii="Tahoma" w:hAnsi="Tahoma" w:cs="Tahoma"/>
          <w:sz w:val="24"/>
          <w:szCs w:val="24"/>
        </w:rPr>
        <w:footnoteReference w:id="21"/>
      </w:r>
      <w:r w:rsidR="00731C72">
        <w:rPr>
          <w:rFonts w:ascii="Tahoma" w:hAnsi="Tahoma" w:cs="Tahoma"/>
          <w:sz w:val="24"/>
          <w:szCs w:val="24"/>
        </w:rPr>
        <w:t xml:space="preserve"> del haber hereditario) y País Vasco en donde no rige el Fuero de Ayala (que es de una tercera parte de la herencia)</w:t>
      </w:r>
      <w:r w:rsidR="000B4ED6">
        <w:rPr>
          <w:rFonts w:ascii="Tahoma" w:hAnsi="Tahoma" w:cs="Tahoma"/>
          <w:sz w:val="24"/>
          <w:szCs w:val="24"/>
        </w:rPr>
        <w:t>.</w:t>
      </w:r>
    </w:p>
    <w:p w14:paraId="6C7CC816" w14:textId="13A21A62" w:rsidR="000B4ED6" w:rsidRDefault="000B4ED6" w:rsidP="00240520">
      <w:pPr>
        <w:spacing w:line="360" w:lineRule="auto"/>
        <w:jc w:val="both"/>
        <w:rPr>
          <w:rFonts w:ascii="Tahoma" w:hAnsi="Tahoma" w:cs="Tahoma"/>
          <w:sz w:val="24"/>
          <w:szCs w:val="24"/>
        </w:rPr>
      </w:pPr>
      <w:r>
        <w:rPr>
          <w:rFonts w:ascii="Tahoma" w:hAnsi="Tahoma" w:cs="Tahoma"/>
          <w:sz w:val="24"/>
          <w:szCs w:val="24"/>
        </w:rPr>
        <w:tab/>
        <w:t>En Galicia</w:t>
      </w:r>
      <w:r w:rsidR="00886ECA">
        <w:rPr>
          <w:rFonts w:ascii="Tahoma" w:hAnsi="Tahoma" w:cs="Tahoma"/>
          <w:sz w:val="24"/>
          <w:szCs w:val="24"/>
        </w:rPr>
        <w:t>,</w:t>
      </w:r>
      <w:r>
        <w:rPr>
          <w:rFonts w:ascii="Tahoma" w:hAnsi="Tahoma" w:cs="Tahoma"/>
          <w:sz w:val="24"/>
          <w:szCs w:val="24"/>
        </w:rPr>
        <w:t xml:space="preserve"> la legítima de los hijos y descendientes es la cuarta parte del valor hereditario; en las Islas Baleares, la tercera parte del haber hereditario, si fueren cuatro o menos de cuatro, y la mitad, si excedieren de este número; y en Cataluña, una cuarta parte de la herencia.</w:t>
      </w:r>
    </w:p>
    <w:p w14:paraId="567C9C67" w14:textId="01EEB39D" w:rsidR="000B4ED6" w:rsidRDefault="000B4ED6" w:rsidP="00240520">
      <w:pPr>
        <w:spacing w:line="360" w:lineRule="auto"/>
        <w:jc w:val="both"/>
        <w:rPr>
          <w:rFonts w:ascii="Tahoma" w:hAnsi="Tahoma" w:cs="Tahoma"/>
          <w:sz w:val="24"/>
          <w:szCs w:val="24"/>
        </w:rPr>
      </w:pPr>
      <w:r>
        <w:rPr>
          <w:rFonts w:ascii="Tahoma" w:hAnsi="Tahoma" w:cs="Tahoma"/>
          <w:sz w:val="24"/>
          <w:szCs w:val="24"/>
        </w:rPr>
        <w:tab/>
        <w:t>En defecto de descendientes son legitimarios los ascendientes, excepto en Galicia y País Vasco, en que no tienen esta consideración.</w:t>
      </w:r>
    </w:p>
    <w:p w14:paraId="2479C4A0" w14:textId="457E07D9" w:rsidR="000B4ED6" w:rsidRDefault="000B4ED6" w:rsidP="00240520">
      <w:pPr>
        <w:spacing w:line="360" w:lineRule="auto"/>
        <w:jc w:val="both"/>
        <w:rPr>
          <w:rFonts w:ascii="Tahoma" w:hAnsi="Tahoma" w:cs="Tahoma"/>
          <w:sz w:val="24"/>
          <w:szCs w:val="24"/>
        </w:rPr>
      </w:pPr>
      <w:r>
        <w:rPr>
          <w:rFonts w:ascii="Tahoma" w:hAnsi="Tahoma" w:cs="Tahoma"/>
          <w:sz w:val="24"/>
          <w:szCs w:val="24"/>
        </w:rPr>
        <w:tab/>
        <w:t xml:space="preserve">En cuanto a la </w:t>
      </w:r>
      <w:r w:rsidRPr="00B71BCA">
        <w:rPr>
          <w:rFonts w:ascii="Tahoma" w:hAnsi="Tahoma" w:cs="Tahoma"/>
          <w:i/>
          <w:iCs/>
          <w:sz w:val="24"/>
          <w:szCs w:val="24"/>
        </w:rPr>
        <w:t>naturaleza jurídica</w:t>
      </w:r>
      <w:r>
        <w:rPr>
          <w:rFonts w:ascii="Tahoma" w:hAnsi="Tahoma" w:cs="Tahoma"/>
          <w:sz w:val="24"/>
          <w:szCs w:val="24"/>
        </w:rPr>
        <w:t xml:space="preserve"> de la legítima: </w:t>
      </w:r>
      <w:r w:rsidR="00CA711F">
        <w:rPr>
          <w:rFonts w:ascii="Tahoma" w:hAnsi="Tahoma" w:cs="Tahoma"/>
          <w:sz w:val="24"/>
          <w:szCs w:val="24"/>
        </w:rPr>
        <w:t>En Aragón, se considera que tiene el carácter de “</w:t>
      </w:r>
      <w:r w:rsidR="00CA711F" w:rsidRPr="00CA711F">
        <w:rPr>
          <w:rFonts w:ascii="Tahoma" w:hAnsi="Tahoma" w:cs="Tahoma"/>
          <w:i/>
          <w:iCs/>
          <w:sz w:val="24"/>
          <w:szCs w:val="24"/>
        </w:rPr>
        <w:t>pars bonorum</w:t>
      </w:r>
      <w:r w:rsidR="00CA711F">
        <w:rPr>
          <w:rFonts w:ascii="Tahoma" w:hAnsi="Tahoma" w:cs="Tahoma"/>
          <w:sz w:val="24"/>
          <w:szCs w:val="24"/>
        </w:rPr>
        <w:t xml:space="preserve">”, si bien en algunos supuestos hace </w:t>
      </w:r>
      <w:r w:rsidR="00CA711F">
        <w:rPr>
          <w:rFonts w:ascii="Tahoma" w:hAnsi="Tahoma" w:cs="Tahoma"/>
          <w:sz w:val="24"/>
          <w:szCs w:val="24"/>
        </w:rPr>
        <w:lastRenderedPageBreak/>
        <w:t>tránsito hacia la “</w:t>
      </w:r>
      <w:r w:rsidR="00CA711F" w:rsidRPr="00CA711F">
        <w:rPr>
          <w:rFonts w:ascii="Tahoma" w:hAnsi="Tahoma" w:cs="Tahoma"/>
          <w:i/>
          <w:iCs/>
          <w:sz w:val="24"/>
          <w:szCs w:val="24"/>
        </w:rPr>
        <w:t>pars valoris</w:t>
      </w:r>
      <w:r w:rsidR="00CA711F">
        <w:rPr>
          <w:rFonts w:ascii="Tahoma" w:hAnsi="Tahoma" w:cs="Tahoma"/>
          <w:sz w:val="24"/>
          <w:szCs w:val="24"/>
        </w:rPr>
        <w:t>”; en Mallorca y Menorca, “</w:t>
      </w:r>
      <w:r w:rsidR="00CA711F" w:rsidRPr="00CA711F">
        <w:rPr>
          <w:rFonts w:ascii="Tahoma" w:hAnsi="Tahoma" w:cs="Tahoma"/>
          <w:i/>
          <w:iCs/>
          <w:sz w:val="24"/>
          <w:szCs w:val="24"/>
        </w:rPr>
        <w:t>pars bonorum</w:t>
      </w:r>
      <w:r w:rsidR="00CA711F">
        <w:rPr>
          <w:rFonts w:ascii="Tahoma" w:hAnsi="Tahoma" w:cs="Tahoma"/>
          <w:sz w:val="24"/>
          <w:szCs w:val="24"/>
        </w:rPr>
        <w:t>”; en en Ibiza y Formentera, “</w:t>
      </w:r>
      <w:r w:rsidR="00CA711F" w:rsidRPr="00CA711F">
        <w:rPr>
          <w:rFonts w:ascii="Tahoma" w:hAnsi="Tahoma" w:cs="Tahoma"/>
          <w:i/>
          <w:iCs/>
          <w:sz w:val="24"/>
          <w:szCs w:val="24"/>
        </w:rPr>
        <w:t>pars valoris bonorum</w:t>
      </w:r>
      <w:r w:rsidR="00CA711F">
        <w:rPr>
          <w:rFonts w:ascii="Tahoma" w:hAnsi="Tahoma" w:cs="Tahoma"/>
          <w:sz w:val="24"/>
          <w:szCs w:val="24"/>
        </w:rPr>
        <w:t>”; en Galicia</w:t>
      </w:r>
      <w:r w:rsidR="0050485D">
        <w:rPr>
          <w:rFonts w:ascii="Tahoma" w:hAnsi="Tahoma" w:cs="Tahoma"/>
          <w:sz w:val="24"/>
          <w:szCs w:val="24"/>
        </w:rPr>
        <w:t xml:space="preserve">, </w:t>
      </w:r>
      <w:r w:rsidR="00CA711F">
        <w:rPr>
          <w:rFonts w:ascii="Tahoma" w:hAnsi="Tahoma" w:cs="Tahoma"/>
          <w:sz w:val="24"/>
          <w:szCs w:val="24"/>
        </w:rPr>
        <w:t>Cataluña</w:t>
      </w:r>
      <w:r w:rsidR="0050485D">
        <w:rPr>
          <w:rFonts w:ascii="Tahoma" w:hAnsi="Tahoma" w:cs="Tahoma"/>
          <w:sz w:val="24"/>
          <w:szCs w:val="24"/>
        </w:rPr>
        <w:t xml:space="preserve"> y País Vasco (como ha puesto de relieve la reciente Sentencia del TSJ del País Vasco de 10 de junio de 2024)</w:t>
      </w:r>
      <w:r w:rsidR="00CA711F">
        <w:rPr>
          <w:rFonts w:ascii="Tahoma" w:hAnsi="Tahoma" w:cs="Tahoma"/>
          <w:sz w:val="24"/>
          <w:szCs w:val="24"/>
        </w:rPr>
        <w:t>, “</w:t>
      </w:r>
      <w:r w:rsidR="00CA711F" w:rsidRPr="00CA711F">
        <w:rPr>
          <w:rFonts w:ascii="Tahoma" w:hAnsi="Tahoma" w:cs="Tahoma"/>
          <w:i/>
          <w:iCs/>
          <w:sz w:val="24"/>
          <w:szCs w:val="24"/>
        </w:rPr>
        <w:t>pars valoris</w:t>
      </w:r>
      <w:r w:rsidR="00CA711F">
        <w:rPr>
          <w:rFonts w:ascii="Tahoma" w:hAnsi="Tahoma" w:cs="Tahoma"/>
          <w:sz w:val="24"/>
          <w:szCs w:val="24"/>
        </w:rPr>
        <w:t>”.</w:t>
      </w:r>
    </w:p>
    <w:p w14:paraId="0C802878" w14:textId="77777777" w:rsidR="0050485D" w:rsidRDefault="00CA711F" w:rsidP="00240520">
      <w:pPr>
        <w:spacing w:line="360" w:lineRule="auto"/>
        <w:jc w:val="both"/>
        <w:rPr>
          <w:rFonts w:ascii="Tahoma" w:hAnsi="Tahoma" w:cs="Tahoma"/>
          <w:sz w:val="24"/>
          <w:szCs w:val="24"/>
        </w:rPr>
      </w:pPr>
      <w:r>
        <w:rPr>
          <w:rFonts w:ascii="Tahoma" w:hAnsi="Tahoma" w:cs="Tahoma"/>
          <w:sz w:val="24"/>
          <w:szCs w:val="24"/>
        </w:rPr>
        <w:tab/>
        <w:t xml:space="preserve">La </w:t>
      </w:r>
      <w:r w:rsidRPr="00B71BCA">
        <w:rPr>
          <w:rFonts w:ascii="Tahoma" w:hAnsi="Tahoma" w:cs="Tahoma"/>
          <w:i/>
          <w:iCs/>
          <w:sz w:val="24"/>
          <w:szCs w:val="24"/>
        </w:rPr>
        <w:t>posición del cónyuge viudo</w:t>
      </w:r>
      <w:r>
        <w:rPr>
          <w:rFonts w:ascii="Tahoma" w:hAnsi="Tahoma" w:cs="Tahoma"/>
          <w:sz w:val="24"/>
          <w:szCs w:val="24"/>
        </w:rPr>
        <w:t xml:space="preserve"> es igualmente variada</w:t>
      </w:r>
      <w:r w:rsidR="00B71BCA">
        <w:rPr>
          <w:rStyle w:val="Refdenotaalpie"/>
          <w:rFonts w:ascii="Tahoma" w:hAnsi="Tahoma" w:cs="Tahoma"/>
          <w:sz w:val="24"/>
          <w:szCs w:val="24"/>
        </w:rPr>
        <w:footnoteReference w:id="22"/>
      </w:r>
      <w:r>
        <w:rPr>
          <w:rFonts w:ascii="Tahoma" w:hAnsi="Tahoma" w:cs="Tahoma"/>
          <w:sz w:val="24"/>
          <w:szCs w:val="24"/>
        </w:rPr>
        <w:t xml:space="preserve">: </w:t>
      </w:r>
      <w:r w:rsidR="00530D63" w:rsidRPr="00B71BCA">
        <w:rPr>
          <w:rFonts w:ascii="Tahoma" w:hAnsi="Tahoma" w:cs="Tahoma"/>
          <w:i/>
          <w:iCs/>
          <w:sz w:val="24"/>
          <w:szCs w:val="24"/>
        </w:rPr>
        <w:t xml:space="preserve">En Ibiza y Formentera, </w:t>
      </w:r>
      <w:r w:rsidR="00530D63">
        <w:rPr>
          <w:rFonts w:ascii="Tahoma" w:hAnsi="Tahoma" w:cs="Tahoma"/>
          <w:sz w:val="24"/>
          <w:szCs w:val="24"/>
        </w:rPr>
        <w:t>ni el cónyuge ni la pareja estable sobreviviente son legitimarios, si bien existe la posibilidad de pactar en capitulaciones el usufructo universal para después de la muerte de uno de ellos</w:t>
      </w:r>
      <w:r w:rsidR="00353020">
        <w:rPr>
          <w:rStyle w:val="Refdenotaalpie"/>
          <w:rFonts w:ascii="Tahoma" w:hAnsi="Tahoma" w:cs="Tahoma"/>
          <w:sz w:val="24"/>
          <w:szCs w:val="24"/>
        </w:rPr>
        <w:footnoteReference w:id="23"/>
      </w:r>
      <w:r w:rsidR="00530D63">
        <w:rPr>
          <w:rFonts w:ascii="Tahoma" w:hAnsi="Tahoma" w:cs="Tahoma"/>
          <w:sz w:val="24"/>
          <w:szCs w:val="24"/>
        </w:rPr>
        <w:t xml:space="preserve">. </w:t>
      </w:r>
    </w:p>
    <w:p w14:paraId="6EB36A44" w14:textId="77777777" w:rsidR="0050485D" w:rsidRDefault="00530D63" w:rsidP="00240520">
      <w:pPr>
        <w:spacing w:line="360" w:lineRule="auto"/>
        <w:jc w:val="both"/>
        <w:rPr>
          <w:rFonts w:ascii="Tahoma" w:hAnsi="Tahoma" w:cs="Tahoma"/>
          <w:sz w:val="24"/>
          <w:szCs w:val="24"/>
        </w:rPr>
      </w:pPr>
      <w:r w:rsidRPr="00B71BCA">
        <w:rPr>
          <w:rFonts w:ascii="Tahoma" w:hAnsi="Tahoma" w:cs="Tahoma"/>
          <w:i/>
          <w:iCs/>
          <w:sz w:val="24"/>
          <w:szCs w:val="24"/>
        </w:rPr>
        <w:t>En Cataluña</w:t>
      </w:r>
      <w:r>
        <w:rPr>
          <w:rFonts w:ascii="Tahoma" w:hAnsi="Tahoma" w:cs="Tahoma"/>
          <w:sz w:val="24"/>
          <w:szCs w:val="24"/>
        </w:rPr>
        <w:t xml:space="preserve"> no existe una legítima del cónyuge viudo propiamente dicha; solamente existe el derecho de la cuarta vi</w:t>
      </w:r>
      <w:r w:rsidR="00B71BCA">
        <w:rPr>
          <w:rFonts w:ascii="Tahoma" w:hAnsi="Tahoma" w:cs="Tahoma"/>
          <w:sz w:val="24"/>
          <w:szCs w:val="24"/>
        </w:rPr>
        <w:t>uda</w:t>
      </w:r>
      <w:r>
        <w:rPr>
          <w:rFonts w:ascii="Tahoma" w:hAnsi="Tahoma" w:cs="Tahoma"/>
          <w:sz w:val="24"/>
          <w:szCs w:val="24"/>
        </w:rPr>
        <w:t xml:space="preserve">l, </w:t>
      </w:r>
      <w:r w:rsidR="00B71BCA">
        <w:rPr>
          <w:rFonts w:ascii="Tahoma" w:hAnsi="Tahoma" w:cs="Tahoma"/>
          <w:sz w:val="24"/>
          <w:szCs w:val="24"/>
        </w:rPr>
        <w:t xml:space="preserve">que se reconoce al cónyuge viudo y a la persona que haya tenido una relación estable de pareja con el fallecido, y </w:t>
      </w:r>
      <w:r>
        <w:rPr>
          <w:rFonts w:ascii="Tahoma" w:hAnsi="Tahoma" w:cs="Tahoma"/>
          <w:sz w:val="24"/>
          <w:szCs w:val="24"/>
        </w:rPr>
        <w:t>que faculta para reclamar la cantidad necesaria para atender sus necesidades</w:t>
      </w:r>
      <w:r w:rsidR="00353020">
        <w:rPr>
          <w:rStyle w:val="Refdenotaalpie"/>
          <w:rFonts w:ascii="Tahoma" w:hAnsi="Tahoma" w:cs="Tahoma"/>
          <w:sz w:val="24"/>
          <w:szCs w:val="24"/>
        </w:rPr>
        <w:footnoteReference w:id="24"/>
      </w:r>
      <w:r w:rsidR="00353020">
        <w:rPr>
          <w:rFonts w:ascii="Tahoma" w:hAnsi="Tahoma" w:cs="Tahoma"/>
          <w:sz w:val="24"/>
          <w:szCs w:val="24"/>
        </w:rPr>
        <w:t xml:space="preserve">. </w:t>
      </w:r>
    </w:p>
    <w:p w14:paraId="48314C67" w14:textId="264CE329" w:rsidR="0050485D" w:rsidRDefault="00353020" w:rsidP="00240520">
      <w:pPr>
        <w:spacing w:line="360" w:lineRule="auto"/>
        <w:jc w:val="both"/>
        <w:rPr>
          <w:rFonts w:ascii="Tahoma" w:hAnsi="Tahoma" w:cs="Tahoma"/>
          <w:sz w:val="24"/>
          <w:szCs w:val="24"/>
        </w:rPr>
      </w:pPr>
      <w:r w:rsidRPr="00B71BCA">
        <w:rPr>
          <w:rFonts w:ascii="Tahoma" w:hAnsi="Tahoma" w:cs="Tahoma"/>
          <w:i/>
          <w:iCs/>
          <w:sz w:val="24"/>
          <w:szCs w:val="24"/>
        </w:rPr>
        <w:t>En Galicia</w:t>
      </w:r>
      <w:r>
        <w:rPr>
          <w:rFonts w:ascii="Tahoma" w:hAnsi="Tahoma" w:cs="Tahoma"/>
          <w:sz w:val="24"/>
          <w:szCs w:val="24"/>
        </w:rPr>
        <w:t>, se le reconoce el carácter de legitimario al cónyuge viudo y a la pareja de hecho supérstite</w:t>
      </w:r>
      <w:r>
        <w:rPr>
          <w:rStyle w:val="Refdenotaalpie"/>
          <w:rFonts w:ascii="Tahoma" w:hAnsi="Tahoma" w:cs="Tahoma"/>
          <w:sz w:val="24"/>
          <w:szCs w:val="24"/>
        </w:rPr>
        <w:footnoteReference w:id="25"/>
      </w:r>
      <w:r>
        <w:rPr>
          <w:rFonts w:ascii="Tahoma" w:hAnsi="Tahoma" w:cs="Tahoma"/>
          <w:sz w:val="24"/>
          <w:szCs w:val="24"/>
        </w:rPr>
        <w:t>, consistente en el usufructo vitalicio de la cuarta parte de la herencia, si concurre con descendientes; y, a falta de estos, de la mitad</w:t>
      </w:r>
      <w:r>
        <w:rPr>
          <w:rStyle w:val="Refdenotaalpie"/>
          <w:rFonts w:ascii="Tahoma" w:hAnsi="Tahoma" w:cs="Tahoma"/>
          <w:sz w:val="24"/>
          <w:szCs w:val="24"/>
        </w:rPr>
        <w:footnoteReference w:id="26"/>
      </w:r>
      <w:r>
        <w:rPr>
          <w:rFonts w:ascii="Tahoma" w:hAnsi="Tahoma" w:cs="Tahoma"/>
          <w:sz w:val="24"/>
          <w:szCs w:val="24"/>
        </w:rPr>
        <w:t>.</w:t>
      </w:r>
    </w:p>
    <w:p w14:paraId="59D68049" w14:textId="77777777" w:rsidR="0050485D" w:rsidRDefault="00353020" w:rsidP="00240520">
      <w:pPr>
        <w:spacing w:line="360" w:lineRule="auto"/>
        <w:jc w:val="both"/>
        <w:rPr>
          <w:rFonts w:ascii="Tahoma" w:hAnsi="Tahoma" w:cs="Tahoma"/>
          <w:sz w:val="24"/>
          <w:szCs w:val="24"/>
        </w:rPr>
      </w:pPr>
      <w:r>
        <w:rPr>
          <w:rFonts w:ascii="Tahoma" w:hAnsi="Tahoma" w:cs="Tahoma"/>
          <w:sz w:val="24"/>
          <w:szCs w:val="24"/>
        </w:rPr>
        <w:t xml:space="preserve"> </w:t>
      </w:r>
      <w:r w:rsidRPr="00B71BCA">
        <w:rPr>
          <w:rFonts w:ascii="Tahoma" w:hAnsi="Tahoma" w:cs="Tahoma"/>
          <w:i/>
          <w:iCs/>
          <w:sz w:val="24"/>
          <w:szCs w:val="24"/>
        </w:rPr>
        <w:t>En el País Vasco</w:t>
      </w:r>
      <w:r>
        <w:rPr>
          <w:rFonts w:ascii="Tahoma" w:hAnsi="Tahoma" w:cs="Tahoma"/>
          <w:sz w:val="24"/>
          <w:szCs w:val="24"/>
        </w:rPr>
        <w:t>, el cónyuge viudo o miembro superviviente de la pareja de hecho tiene la condición de legitimario</w:t>
      </w:r>
      <w:r w:rsidR="00990F23">
        <w:rPr>
          <w:rStyle w:val="Refdenotaalpie"/>
          <w:rFonts w:ascii="Tahoma" w:hAnsi="Tahoma" w:cs="Tahoma"/>
          <w:sz w:val="24"/>
          <w:szCs w:val="24"/>
        </w:rPr>
        <w:footnoteReference w:id="27"/>
      </w:r>
      <w:r>
        <w:rPr>
          <w:rFonts w:ascii="Tahoma" w:hAnsi="Tahoma" w:cs="Tahoma"/>
          <w:sz w:val="24"/>
          <w:szCs w:val="24"/>
        </w:rPr>
        <w:t>, consistiendo la legítima en el usufructo de la mitad de todos los bienes del causante, si concurriere con descendientes y, en defecto de éstos, de dos tercios</w:t>
      </w:r>
      <w:r w:rsidR="00990F23">
        <w:rPr>
          <w:rStyle w:val="Refdenotaalpie"/>
          <w:rFonts w:ascii="Tahoma" w:hAnsi="Tahoma" w:cs="Tahoma"/>
          <w:sz w:val="24"/>
          <w:szCs w:val="24"/>
        </w:rPr>
        <w:footnoteReference w:id="28"/>
      </w:r>
      <w:r w:rsidR="00990F23">
        <w:rPr>
          <w:rFonts w:ascii="Tahoma" w:hAnsi="Tahoma" w:cs="Tahoma"/>
          <w:sz w:val="24"/>
          <w:szCs w:val="24"/>
        </w:rPr>
        <w:t xml:space="preserve">. </w:t>
      </w:r>
    </w:p>
    <w:p w14:paraId="62DEA37C" w14:textId="77777777" w:rsidR="0050485D" w:rsidRDefault="00990F23" w:rsidP="00240520">
      <w:pPr>
        <w:spacing w:line="360" w:lineRule="auto"/>
        <w:jc w:val="both"/>
        <w:rPr>
          <w:rFonts w:ascii="Tahoma" w:hAnsi="Tahoma" w:cs="Tahoma"/>
          <w:sz w:val="24"/>
          <w:szCs w:val="24"/>
        </w:rPr>
      </w:pPr>
      <w:r w:rsidRPr="00B71BCA">
        <w:rPr>
          <w:rFonts w:ascii="Tahoma" w:hAnsi="Tahoma" w:cs="Tahoma"/>
          <w:i/>
          <w:iCs/>
          <w:sz w:val="24"/>
          <w:szCs w:val="24"/>
        </w:rPr>
        <w:t>En Aragón</w:t>
      </w:r>
      <w:r>
        <w:rPr>
          <w:rFonts w:ascii="Tahoma" w:hAnsi="Tahoma" w:cs="Tahoma"/>
          <w:sz w:val="24"/>
          <w:szCs w:val="24"/>
        </w:rPr>
        <w:t xml:space="preserve">, el cónyuge viudo tiene el derecho de viudedad; en vida de ambos cónyuges, este derecho se mantiene como derecho expectante de viudedad, que afecta a todos los bienes del matrimonio (consorciales o no), si bien cabe el pacto </w:t>
      </w:r>
      <w:r>
        <w:rPr>
          <w:rFonts w:ascii="Tahoma" w:hAnsi="Tahoma" w:cs="Tahoma"/>
          <w:sz w:val="24"/>
          <w:szCs w:val="24"/>
        </w:rPr>
        <w:lastRenderedPageBreak/>
        <w:t>de exclusión o limitación y la renuncia a dicho derecho, sobre todos los bienes o parte de ellos, siempre que se haga en escritura pública</w:t>
      </w:r>
      <w:r w:rsidR="000C2BFC">
        <w:rPr>
          <w:rStyle w:val="Refdenotaalpie"/>
          <w:rFonts w:ascii="Tahoma" w:hAnsi="Tahoma" w:cs="Tahoma"/>
          <w:sz w:val="24"/>
          <w:szCs w:val="24"/>
        </w:rPr>
        <w:footnoteReference w:id="29"/>
      </w:r>
      <w:r>
        <w:rPr>
          <w:rFonts w:ascii="Tahoma" w:hAnsi="Tahoma" w:cs="Tahoma"/>
          <w:sz w:val="24"/>
          <w:szCs w:val="24"/>
        </w:rPr>
        <w:t xml:space="preserve">. En cambio, en Aragón, </w:t>
      </w:r>
      <w:r w:rsidR="000C2BFC">
        <w:rPr>
          <w:rFonts w:ascii="Tahoma" w:hAnsi="Tahoma" w:cs="Tahoma"/>
          <w:sz w:val="24"/>
          <w:szCs w:val="24"/>
        </w:rPr>
        <w:t>la pareja de hecho no está equiparada a estos efecto</w:t>
      </w:r>
      <w:r w:rsidR="001C12AA">
        <w:rPr>
          <w:rFonts w:ascii="Tahoma" w:hAnsi="Tahoma" w:cs="Tahoma"/>
          <w:sz w:val="24"/>
          <w:szCs w:val="24"/>
        </w:rPr>
        <w:t>s</w:t>
      </w:r>
      <w:r w:rsidR="000C2BFC">
        <w:rPr>
          <w:rFonts w:ascii="Tahoma" w:hAnsi="Tahoma" w:cs="Tahoma"/>
          <w:sz w:val="24"/>
          <w:szCs w:val="24"/>
        </w:rPr>
        <w:t>, reconociéndosele sólo el derecho al mobiliario, útiles e instrumentos de trabajo que constituyan el ajuar de la vivienda habitual, con exclusión de joyas u objetos artísticos de valor extraordinario o de los bienes de procedencia familiar</w:t>
      </w:r>
      <w:r w:rsidR="000C2BFC">
        <w:rPr>
          <w:rStyle w:val="Refdenotaalpie"/>
          <w:rFonts w:ascii="Tahoma" w:hAnsi="Tahoma" w:cs="Tahoma"/>
          <w:sz w:val="24"/>
          <w:szCs w:val="24"/>
        </w:rPr>
        <w:footnoteReference w:id="30"/>
      </w:r>
      <w:r w:rsidR="000C2BFC">
        <w:rPr>
          <w:rFonts w:ascii="Tahoma" w:hAnsi="Tahoma" w:cs="Tahoma"/>
          <w:sz w:val="24"/>
          <w:szCs w:val="24"/>
        </w:rPr>
        <w:t xml:space="preserve">. </w:t>
      </w:r>
    </w:p>
    <w:p w14:paraId="307F7519" w14:textId="15045933" w:rsidR="00CA711F" w:rsidRDefault="000C2BFC" w:rsidP="00240520">
      <w:pPr>
        <w:spacing w:line="360" w:lineRule="auto"/>
        <w:jc w:val="both"/>
        <w:rPr>
          <w:rFonts w:ascii="Tahoma" w:hAnsi="Tahoma" w:cs="Tahoma"/>
          <w:sz w:val="24"/>
          <w:szCs w:val="24"/>
        </w:rPr>
      </w:pPr>
      <w:r w:rsidRPr="00B71BCA">
        <w:rPr>
          <w:rFonts w:ascii="Tahoma" w:hAnsi="Tahoma" w:cs="Tahoma"/>
          <w:i/>
          <w:iCs/>
          <w:sz w:val="24"/>
          <w:szCs w:val="24"/>
        </w:rPr>
        <w:t>En Navarra,</w:t>
      </w:r>
      <w:r>
        <w:rPr>
          <w:rFonts w:ascii="Tahoma" w:hAnsi="Tahoma" w:cs="Tahoma"/>
          <w:sz w:val="24"/>
          <w:szCs w:val="24"/>
        </w:rPr>
        <w:t xml:space="preserve"> el cónyuge viudo tiene reconocido el usufructo de fidelidad que hoy, tras la Ley 21/2019, pasa a denominarse usufructo de viudedad, recayendo sobre todos los bienes y derechos que al premuerto pertenecían en el momento del fallecimiento</w:t>
      </w:r>
      <w:r>
        <w:rPr>
          <w:rStyle w:val="Refdenotaalpie"/>
          <w:rFonts w:ascii="Tahoma" w:hAnsi="Tahoma" w:cs="Tahoma"/>
          <w:sz w:val="24"/>
          <w:szCs w:val="24"/>
        </w:rPr>
        <w:footnoteReference w:id="31"/>
      </w:r>
      <w:r>
        <w:rPr>
          <w:rFonts w:ascii="Tahoma" w:hAnsi="Tahoma" w:cs="Tahoma"/>
          <w:sz w:val="24"/>
          <w:szCs w:val="24"/>
        </w:rPr>
        <w:t>, si bien es válida la renuncia anticipada en escritura pública, antes o después del matrimonio; este derecho también se reconoce a la pareja estable, pero, a diferencia del cónyuge viudo, sólo cuando expresamente se hubiere dispuesto</w:t>
      </w:r>
      <w:r>
        <w:rPr>
          <w:rStyle w:val="Refdenotaalpie"/>
          <w:rFonts w:ascii="Tahoma" w:hAnsi="Tahoma" w:cs="Tahoma"/>
          <w:sz w:val="24"/>
          <w:szCs w:val="24"/>
        </w:rPr>
        <w:footnoteReference w:id="32"/>
      </w:r>
      <w:r>
        <w:rPr>
          <w:rFonts w:ascii="Tahoma" w:hAnsi="Tahoma" w:cs="Tahoma"/>
          <w:sz w:val="24"/>
          <w:szCs w:val="24"/>
        </w:rPr>
        <w:t xml:space="preserve"> de forma voluntaria</w:t>
      </w:r>
      <w:r>
        <w:rPr>
          <w:rStyle w:val="Refdenotaalpie"/>
          <w:rFonts w:ascii="Tahoma" w:hAnsi="Tahoma" w:cs="Tahoma"/>
          <w:sz w:val="24"/>
          <w:szCs w:val="24"/>
        </w:rPr>
        <w:footnoteReference w:id="33"/>
      </w:r>
      <w:r>
        <w:rPr>
          <w:rFonts w:ascii="Tahoma" w:hAnsi="Tahoma" w:cs="Tahoma"/>
          <w:sz w:val="24"/>
          <w:szCs w:val="24"/>
        </w:rPr>
        <w:t>.</w:t>
      </w:r>
    </w:p>
    <w:p w14:paraId="000FD41F" w14:textId="4DAE5FB3" w:rsidR="00B71BCA" w:rsidRPr="00B71BCA" w:rsidRDefault="00B71BCA" w:rsidP="00B71BCA">
      <w:pPr>
        <w:pStyle w:val="Prrafodelista"/>
        <w:numPr>
          <w:ilvl w:val="0"/>
          <w:numId w:val="3"/>
        </w:numPr>
        <w:spacing w:line="360" w:lineRule="auto"/>
        <w:jc w:val="both"/>
        <w:rPr>
          <w:rFonts w:ascii="Tahoma" w:hAnsi="Tahoma" w:cs="Tahoma"/>
          <w:sz w:val="24"/>
          <w:szCs w:val="24"/>
        </w:rPr>
      </w:pPr>
      <w:r w:rsidRPr="00B71BCA">
        <w:rPr>
          <w:rFonts w:ascii="Tahoma" w:hAnsi="Tahoma" w:cs="Tahoma"/>
          <w:b/>
          <w:bCs/>
          <w:sz w:val="24"/>
          <w:szCs w:val="24"/>
        </w:rPr>
        <w:t>Panorama de Derecho Comparado</w:t>
      </w:r>
      <w:r>
        <w:rPr>
          <w:rFonts w:ascii="Tahoma" w:hAnsi="Tahoma" w:cs="Tahoma"/>
          <w:sz w:val="24"/>
          <w:szCs w:val="24"/>
        </w:rPr>
        <w:t>.</w:t>
      </w:r>
    </w:p>
    <w:p w14:paraId="5B338717" w14:textId="668D6F1E" w:rsidR="00931131" w:rsidRDefault="00931131" w:rsidP="00240520">
      <w:pPr>
        <w:spacing w:line="360" w:lineRule="auto"/>
        <w:jc w:val="both"/>
        <w:rPr>
          <w:rFonts w:ascii="Tahoma" w:hAnsi="Tahoma" w:cs="Tahoma"/>
          <w:sz w:val="24"/>
          <w:szCs w:val="24"/>
        </w:rPr>
      </w:pPr>
      <w:r>
        <w:rPr>
          <w:rFonts w:ascii="Tahoma" w:hAnsi="Tahoma" w:cs="Tahoma"/>
          <w:sz w:val="24"/>
          <w:szCs w:val="24"/>
        </w:rPr>
        <w:tab/>
        <w:t>En el Derecho comparado, nos encontramos -siguiendo a Victorio MAGARIÑOS</w:t>
      </w:r>
      <w:r>
        <w:rPr>
          <w:rStyle w:val="Refdenotaalpie"/>
          <w:rFonts w:ascii="Tahoma" w:hAnsi="Tahoma" w:cs="Tahoma"/>
          <w:sz w:val="24"/>
          <w:szCs w:val="24"/>
        </w:rPr>
        <w:footnoteReference w:id="34"/>
      </w:r>
      <w:r>
        <w:rPr>
          <w:rFonts w:ascii="Tahoma" w:hAnsi="Tahoma" w:cs="Tahoma"/>
          <w:sz w:val="24"/>
          <w:szCs w:val="24"/>
        </w:rPr>
        <w:t xml:space="preserve">-, tres sistemas legislativos: 1) El de </w:t>
      </w:r>
      <w:r w:rsidRPr="00937A6E">
        <w:rPr>
          <w:rFonts w:ascii="Tahoma" w:hAnsi="Tahoma" w:cs="Tahoma"/>
          <w:i/>
          <w:iCs/>
          <w:sz w:val="24"/>
          <w:szCs w:val="24"/>
        </w:rPr>
        <w:t xml:space="preserve">legítima de cuota y base familiar; </w:t>
      </w:r>
      <w:r>
        <w:rPr>
          <w:rFonts w:ascii="Tahoma" w:hAnsi="Tahoma" w:cs="Tahoma"/>
          <w:sz w:val="24"/>
          <w:szCs w:val="24"/>
        </w:rPr>
        <w:t>2) el de legítima asistencial; 3) el de libertad de testar.</w:t>
      </w:r>
    </w:p>
    <w:p w14:paraId="382AB575" w14:textId="0D9DB0C5" w:rsidR="00F37746" w:rsidRDefault="00931131" w:rsidP="00240520">
      <w:pPr>
        <w:spacing w:line="360" w:lineRule="auto"/>
        <w:jc w:val="both"/>
        <w:rPr>
          <w:rFonts w:ascii="Tahoma" w:hAnsi="Tahoma" w:cs="Tahoma"/>
          <w:sz w:val="24"/>
          <w:szCs w:val="24"/>
        </w:rPr>
      </w:pPr>
      <w:r>
        <w:rPr>
          <w:rFonts w:ascii="Tahoma" w:hAnsi="Tahoma" w:cs="Tahoma"/>
          <w:sz w:val="24"/>
          <w:szCs w:val="24"/>
        </w:rPr>
        <w:tab/>
        <w:t>Dentro del primero de los sistemas, cabe destacar, entre otros, a los siguientes países</w:t>
      </w:r>
      <w:r w:rsidR="00F37746">
        <w:rPr>
          <w:rStyle w:val="Refdenotaalpie"/>
          <w:rFonts w:ascii="Tahoma" w:hAnsi="Tahoma" w:cs="Tahoma"/>
          <w:sz w:val="24"/>
          <w:szCs w:val="24"/>
        </w:rPr>
        <w:footnoteReference w:id="35"/>
      </w:r>
      <w:r>
        <w:rPr>
          <w:rFonts w:ascii="Tahoma" w:hAnsi="Tahoma" w:cs="Tahoma"/>
          <w:sz w:val="24"/>
          <w:szCs w:val="24"/>
        </w:rPr>
        <w:t xml:space="preserve">: </w:t>
      </w:r>
      <w:r w:rsidRPr="00B71BCA">
        <w:rPr>
          <w:rFonts w:ascii="Tahoma" w:hAnsi="Tahoma" w:cs="Tahoma"/>
          <w:i/>
          <w:iCs/>
          <w:sz w:val="24"/>
          <w:szCs w:val="24"/>
        </w:rPr>
        <w:t>Francia</w:t>
      </w:r>
      <w:r w:rsidR="00447DC8">
        <w:rPr>
          <w:rFonts w:ascii="Tahoma" w:hAnsi="Tahoma" w:cs="Tahoma"/>
          <w:sz w:val="24"/>
          <w:szCs w:val="24"/>
        </w:rPr>
        <w:t>, que contempla una legítima variable según el número de hijos (</w:t>
      </w:r>
      <w:r w:rsidR="00447DC8" w:rsidRPr="00447DC8">
        <w:rPr>
          <w:rFonts w:ascii="Tahoma" w:hAnsi="Tahoma" w:cs="Tahoma"/>
          <w:sz w:val="24"/>
          <w:szCs w:val="24"/>
        </w:rPr>
        <w:t>si solo hay un hijo, será igual a la mitad del caudal hereditario</w:t>
      </w:r>
      <w:r w:rsidR="00447DC8">
        <w:rPr>
          <w:rFonts w:ascii="Tahoma" w:hAnsi="Tahoma" w:cs="Tahoma"/>
          <w:sz w:val="24"/>
          <w:szCs w:val="24"/>
        </w:rPr>
        <w:t>; s</w:t>
      </w:r>
      <w:r w:rsidR="00447DC8" w:rsidRPr="00447DC8">
        <w:rPr>
          <w:rFonts w:ascii="Tahoma" w:hAnsi="Tahoma" w:cs="Tahoma"/>
          <w:sz w:val="24"/>
          <w:szCs w:val="24"/>
        </w:rPr>
        <w:t>i hay dos hijos, será de dos terceras partes</w:t>
      </w:r>
      <w:r w:rsidR="00447DC8">
        <w:rPr>
          <w:rFonts w:ascii="Tahoma" w:hAnsi="Tahoma" w:cs="Tahoma"/>
          <w:sz w:val="24"/>
          <w:szCs w:val="24"/>
        </w:rPr>
        <w:t>;</w:t>
      </w:r>
      <w:r w:rsidR="00447DC8" w:rsidRPr="00447DC8">
        <w:rPr>
          <w:rFonts w:ascii="Tahoma" w:hAnsi="Tahoma" w:cs="Tahoma"/>
          <w:sz w:val="24"/>
          <w:szCs w:val="24"/>
        </w:rPr>
        <w:t xml:space="preserve"> y si hay tres hijos o más, de tres cuartas partes</w:t>
      </w:r>
      <w:r w:rsidR="00447DC8">
        <w:rPr>
          <w:rStyle w:val="Refdenotaalpie"/>
          <w:rFonts w:ascii="Tahoma" w:hAnsi="Tahoma" w:cs="Tahoma"/>
          <w:sz w:val="24"/>
          <w:szCs w:val="24"/>
        </w:rPr>
        <w:footnoteReference w:id="36"/>
      </w:r>
      <w:r w:rsidR="002339A8">
        <w:rPr>
          <w:rFonts w:ascii="Tahoma" w:hAnsi="Tahoma" w:cs="Tahoma"/>
          <w:sz w:val="24"/>
          <w:szCs w:val="24"/>
        </w:rPr>
        <w:t>)</w:t>
      </w:r>
      <w:r w:rsidR="00F37746">
        <w:rPr>
          <w:rFonts w:ascii="Tahoma" w:hAnsi="Tahoma" w:cs="Tahoma"/>
          <w:sz w:val="24"/>
          <w:szCs w:val="24"/>
        </w:rPr>
        <w:t xml:space="preserve">. </w:t>
      </w:r>
      <w:r w:rsidR="00F37746" w:rsidRPr="00B71BCA">
        <w:rPr>
          <w:rFonts w:ascii="Tahoma" w:hAnsi="Tahoma" w:cs="Tahoma"/>
          <w:i/>
          <w:iCs/>
          <w:sz w:val="24"/>
          <w:szCs w:val="24"/>
        </w:rPr>
        <w:t>La Ley de 23 de junio de 2006</w:t>
      </w:r>
      <w:r w:rsidR="00F37746">
        <w:rPr>
          <w:rFonts w:ascii="Tahoma" w:hAnsi="Tahoma" w:cs="Tahoma"/>
          <w:sz w:val="24"/>
          <w:szCs w:val="24"/>
        </w:rPr>
        <w:t>, para adaptar las legítimas a la nueva realidad social, suprimió la legítima de los ascendientes</w:t>
      </w:r>
      <w:r w:rsidR="00417797">
        <w:rPr>
          <w:rStyle w:val="Refdenotaalpie"/>
          <w:rFonts w:ascii="Tahoma" w:hAnsi="Tahoma" w:cs="Tahoma"/>
          <w:sz w:val="24"/>
          <w:szCs w:val="24"/>
        </w:rPr>
        <w:footnoteReference w:id="37"/>
      </w:r>
      <w:r w:rsidR="00F37746">
        <w:rPr>
          <w:rFonts w:ascii="Tahoma" w:hAnsi="Tahoma" w:cs="Tahoma"/>
          <w:sz w:val="24"/>
          <w:szCs w:val="24"/>
        </w:rPr>
        <w:t xml:space="preserve">, admitió la </w:t>
      </w:r>
      <w:r w:rsidR="00F37746">
        <w:rPr>
          <w:rFonts w:ascii="Tahoma" w:hAnsi="Tahoma" w:cs="Tahoma"/>
          <w:sz w:val="24"/>
          <w:szCs w:val="24"/>
        </w:rPr>
        <w:lastRenderedPageBreak/>
        <w:t>posibilidad de renuncia anticipada al ejercicio de la acción de reducción con el consentimiento del causante en beneficio de una o más personas.</w:t>
      </w:r>
    </w:p>
    <w:p w14:paraId="3B3C4463" w14:textId="77777777" w:rsidR="004F03DB" w:rsidRDefault="00F37746" w:rsidP="00240520">
      <w:pPr>
        <w:spacing w:line="360" w:lineRule="auto"/>
        <w:jc w:val="both"/>
        <w:rPr>
          <w:rFonts w:ascii="Tahoma" w:hAnsi="Tahoma" w:cs="Tahoma"/>
          <w:sz w:val="24"/>
          <w:szCs w:val="24"/>
        </w:rPr>
      </w:pPr>
      <w:r>
        <w:rPr>
          <w:rFonts w:ascii="Tahoma" w:hAnsi="Tahoma" w:cs="Tahoma"/>
          <w:sz w:val="24"/>
          <w:szCs w:val="24"/>
        </w:rPr>
        <w:tab/>
      </w:r>
      <w:r w:rsidRPr="00EF2D0E">
        <w:rPr>
          <w:rFonts w:ascii="Tahoma" w:hAnsi="Tahoma" w:cs="Tahoma"/>
          <w:i/>
          <w:iCs/>
          <w:sz w:val="24"/>
          <w:szCs w:val="24"/>
        </w:rPr>
        <w:t>Italia</w:t>
      </w:r>
      <w:r>
        <w:rPr>
          <w:rFonts w:ascii="Tahoma" w:hAnsi="Tahoma" w:cs="Tahoma"/>
          <w:sz w:val="24"/>
          <w:szCs w:val="24"/>
        </w:rPr>
        <w:t>: al igual que en Francia, se establece una legítima variable según el número de hijos o descendientes; al cónyuge se le reconoce también una cuota en propiedad, variable, según concurra con uno o varios hijos o con los ascendientes</w:t>
      </w:r>
      <w:r w:rsidR="004F03DB">
        <w:rPr>
          <w:rFonts w:ascii="Tahoma" w:hAnsi="Tahoma" w:cs="Tahoma"/>
          <w:sz w:val="24"/>
          <w:szCs w:val="24"/>
        </w:rPr>
        <w:t xml:space="preserve">. La </w:t>
      </w:r>
      <w:r w:rsidR="004F03DB" w:rsidRPr="00937A6E">
        <w:rPr>
          <w:rFonts w:ascii="Tahoma" w:hAnsi="Tahoma" w:cs="Tahoma"/>
          <w:i/>
          <w:iCs/>
          <w:sz w:val="24"/>
          <w:szCs w:val="24"/>
        </w:rPr>
        <w:t>Ley de 14 de febrero de 2006</w:t>
      </w:r>
      <w:r w:rsidR="004F03DB">
        <w:rPr>
          <w:rFonts w:ascii="Tahoma" w:hAnsi="Tahoma" w:cs="Tahoma"/>
          <w:sz w:val="24"/>
          <w:szCs w:val="24"/>
        </w:rPr>
        <w:t xml:space="preserve"> introdujo la posibilidad de pacto sucesorio limitado al patrimonio empresarial del causante, admitiéndose, además, el poder que faculta al mandatario a actuar después de la muerte del causante.</w:t>
      </w:r>
    </w:p>
    <w:p w14:paraId="23887C9C" w14:textId="56AB6A6B" w:rsidR="00F37746" w:rsidRDefault="004F03DB" w:rsidP="00240520">
      <w:pPr>
        <w:spacing w:line="360" w:lineRule="auto"/>
        <w:jc w:val="both"/>
        <w:rPr>
          <w:rFonts w:ascii="Tahoma" w:hAnsi="Tahoma" w:cs="Tahoma"/>
          <w:sz w:val="24"/>
          <w:szCs w:val="24"/>
        </w:rPr>
      </w:pPr>
      <w:r>
        <w:rPr>
          <w:rFonts w:ascii="Tahoma" w:hAnsi="Tahoma" w:cs="Tahoma"/>
          <w:sz w:val="24"/>
          <w:szCs w:val="24"/>
        </w:rPr>
        <w:tab/>
      </w:r>
      <w:r w:rsidRPr="00EF2D0E">
        <w:rPr>
          <w:rFonts w:ascii="Tahoma" w:hAnsi="Tahoma" w:cs="Tahoma"/>
          <w:i/>
          <w:iCs/>
          <w:sz w:val="24"/>
          <w:szCs w:val="24"/>
        </w:rPr>
        <w:t>Alemania</w:t>
      </w:r>
      <w:r>
        <w:rPr>
          <w:rFonts w:ascii="Tahoma" w:hAnsi="Tahoma" w:cs="Tahoma"/>
          <w:sz w:val="24"/>
          <w:szCs w:val="24"/>
        </w:rPr>
        <w:t>: Son legitimarios los descendientes, los padres y el cónyuge viudo, si bien se configura la legítima</w:t>
      </w:r>
      <w:r>
        <w:rPr>
          <w:rStyle w:val="Refdenotaalpie"/>
          <w:rFonts w:ascii="Tahoma" w:hAnsi="Tahoma" w:cs="Tahoma"/>
          <w:sz w:val="24"/>
          <w:szCs w:val="24"/>
        </w:rPr>
        <w:footnoteReference w:id="38"/>
      </w:r>
      <w:r>
        <w:rPr>
          <w:rFonts w:ascii="Tahoma" w:hAnsi="Tahoma" w:cs="Tahoma"/>
          <w:sz w:val="24"/>
          <w:szCs w:val="24"/>
        </w:rPr>
        <w:t xml:space="preserve"> como derecho de crédito. Tras la Sentencia del Tribunal Constitucional, de 19 de abril de 2005, que consideró que la legítima de los descendientes es un derecho protegido por la Constitución, la </w:t>
      </w:r>
      <w:r w:rsidRPr="00937A6E">
        <w:rPr>
          <w:rFonts w:ascii="Tahoma" w:hAnsi="Tahoma" w:cs="Tahoma"/>
          <w:i/>
          <w:iCs/>
          <w:sz w:val="24"/>
          <w:szCs w:val="24"/>
        </w:rPr>
        <w:t>Ley de 18 de septiembre de 2009</w:t>
      </w:r>
      <w:r w:rsidR="00937A6E">
        <w:rPr>
          <w:rFonts w:ascii="Tahoma" w:hAnsi="Tahoma" w:cs="Tahoma"/>
          <w:sz w:val="24"/>
          <w:szCs w:val="24"/>
        </w:rPr>
        <w:t xml:space="preserve"> introdujo</w:t>
      </w:r>
      <w:r>
        <w:rPr>
          <w:rFonts w:ascii="Tahoma" w:hAnsi="Tahoma" w:cs="Tahoma"/>
          <w:sz w:val="24"/>
          <w:szCs w:val="24"/>
        </w:rPr>
        <w:t xml:space="preserve"> pocos cambios</w:t>
      </w:r>
      <w:r>
        <w:rPr>
          <w:rStyle w:val="Refdenotaalpie"/>
          <w:rFonts w:ascii="Tahoma" w:hAnsi="Tahoma" w:cs="Tahoma"/>
          <w:sz w:val="24"/>
          <w:szCs w:val="24"/>
        </w:rPr>
        <w:footnoteReference w:id="39"/>
      </w:r>
      <w:r>
        <w:rPr>
          <w:rFonts w:ascii="Tahoma" w:hAnsi="Tahoma" w:cs="Tahoma"/>
          <w:sz w:val="24"/>
          <w:szCs w:val="24"/>
        </w:rPr>
        <w:t>.</w:t>
      </w:r>
    </w:p>
    <w:p w14:paraId="639F0B03" w14:textId="0F590E03" w:rsidR="001B20D1" w:rsidRDefault="001B20D1" w:rsidP="00240520">
      <w:pPr>
        <w:spacing w:line="360" w:lineRule="auto"/>
        <w:jc w:val="both"/>
        <w:rPr>
          <w:rFonts w:ascii="Tahoma" w:hAnsi="Tahoma" w:cs="Tahoma"/>
          <w:sz w:val="24"/>
          <w:szCs w:val="24"/>
        </w:rPr>
      </w:pPr>
      <w:r>
        <w:rPr>
          <w:rFonts w:ascii="Tahoma" w:hAnsi="Tahoma" w:cs="Tahoma"/>
          <w:sz w:val="24"/>
          <w:szCs w:val="24"/>
        </w:rPr>
        <w:tab/>
      </w:r>
      <w:r w:rsidRPr="00EF2D0E">
        <w:rPr>
          <w:rFonts w:ascii="Tahoma" w:hAnsi="Tahoma" w:cs="Tahoma"/>
          <w:i/>
          <w:iCs/>
          <w:sz w:val="24"/>
          <w:szCs w:val="24"/>
        </w:rPr>
        <w:t>Austria</w:t>
      </w:r>
      <w:r>
        <w:rPr>
          <w:rFonts w:ascii="Tahoma" w:hAnsi="Tahoma" w:cs="Tahoma"/>
          <w:sz w:val="24"/>
          <w:szCs w:val="24"/>
        </w:rPr>
        <w:t>: La legítima se configura, al igual que en Alemania, como derecho de crédito. Son legitimarios los hijos y descendientes por derecho de representación, así como el cónyuge viudo. Sin embargo, tras la reforma de 2015, los ascendientes ya no tienen la condición de legitimarios.</w:t>
      </w:r>
    </w:p>
    <w:p w14:paraId="218FEFAF" w14:textId="3B064A2B" w:rsidR="001B20D1" w:rsidRDefault="001B20D1" w:rsidP="00240520">
      <w:pPr>
        <w:spacing w:line="360" w:lineRule="auto"/>
        <w:jc w:val="both"/>
        <w:rPr>
          <w:rFonts w:ascii="Tahoma" w:hAnsi="Tahoma" w:cs="Tahoma"/>
          <w:sz w:val="24"/>
          <w:szCs w:val="24"/>
        </w:rPr>
      </w:pPr>
      <w:r>
        <w:rPr>
          <w:rFonts w:ascii="Tahoma" w:hAnsi="Tahoma" w:cs="Tahoma"/>
          <w:sz w:val="24"/>
          <w:szCs w:val="24"/>
        </w:rPr>
        <w:tab/>
      </w:r>
      <w:r w:rsidRPr="00EF2D0E">
        <w:rPr>
          <w:rFonts w:ascii="Tahoma" w:hAnsi="Tahoma" w:cs="Tahoma"/>
          <w:i/>
          <w:iCs/>
          <w:sz w:val="24"/>
          <w:szCs w:val="24"/>
        </w:rPr>
        <w:t>Portugal:</w:t>
      </w:r>
      <w:r>
        <w:rPr>
          <w:rFonts w:ascii="Tahoma" w:hAnsi="Tahoma" w:cs="Tahoma"/>
          <w:sz w:val="24"/>
          <w:szCs w:val="24"/>
        </w:rPr>
        <w:t xml:space="preserve"> la legítima tiene la naturaleza de “</w:t>
      </w:r>
      <w:r w:rsidRPr="00417797">
        <w:rPr>
          <w:rFonts w:ascii="Tahoma" w:hAnsi="Tahoma" w:cs="Tahoma"/>
          <w:i/>
          <w:iCs/>
          <w:sz w:val="24"/>
          <w:szCs w:val="24"/>
        </w:rPr>
        <w:t>pars hereditatis”,</w:t>
      </w:r>
      <w:r>
        <w:rPr>
          <w:rFonts w:ascii="Tahoma" w:hAnsi="Tahoma" w:cs="Tahoma"/>
          <w:sz w:val="24"/>
          <w:szCs w:val="24"/>
        </w:rPr>
        <w:t xml:space="preserve"> reconociéndose el carácter de legitimarios a los hijos y descendientes, a los ascendientes y al cónyuge viudo</w:t>
      </w:r>
      <w:r>
        <w:rPr>
          <w:rStyle w:val="Refdenotaalpie"/>
          <w:rFonts w:ascii="Tahoma" w:hAnsi="Tahoma" w:cs="Tahoma"/>
          <w:sz w:val="24"/>
          <w:szCs w:val="24"/>
        </w:rPr>
        <w:footnoteReference w:id="40"/>
      </w:r>
      <w:r>
        <w:rPr>
          <w:rFonts w:ascii="Tahoma" w:hAnsi="Tahoma" w:cs="Tahoma"/>
          <w:sz w:val="24"/>
          <w:szCs w:val="24"/>
        </w:rPr>
        <w:t>.</w:t>
      </w:r>
    </w:p>
    <w:p w14:paraId="6D2A35E0" w14:textId="77777777" w:rsidR="00937A6E" w:rsidRDefault="00417797" w:rsidP="00240520">
      <w:pPr>
        <w:spacing w:line="360" w:lineRule="auto"/>
        <w:jc w:val="both"/>
        <w:rPr>
          <w:rFonts w:ascii="Tahoma" w:hAnsi="Tahoma" w:cs="Tahoma"/>
          <w:sz w:val="24"/>
          <w:szCs w:val="24"/>
        </w:rPr>
      </w:pPr>
      <w:r>
        <w:rPr>
          <w:rFonts w:ascii="Tahoma" w:hAnsi="Tahoma" w:cs="Tahoma"/>
          <w:sz w:val="24"/>
          <w:szCs w:val="24"/>
        </w:rPr>
        <w:lastRenderedPageBreak/>
        <w:tab/>
        <w:t>Entre los países iberoamericanos, mantienen el sistema de legítima Chile, Argentina</w:t>
      </w:r>
      <w:r w:rsidR="00DB373E">
        <w:rPr>
          <w:rFonts w:ascii="Tahoma" w:hAnsi="Tahoma" w:cs="Tahoma"/>
          <w:sz w:val="24"/>
          <w:szCs w:val="24"/>
        </w:rPr>
        <w:t>,</w:t>
      </w:r>
      <w:r>
        <w:rPr>
          <w:rFonts w:ascii="Tahoma" w:hAnsi="Tahoma" w:cs="Tahoma"/>
          <w:sz w:val="24"/>
          <w:szCs w:val="24"/>
        </w:rPr>
        <w:t xml:space="preserve"> Colombia</w:t>
      </w:r>
      <w:r w:rsidR="00DB373E">
        <w:rPr>
          <w:rFonts w:ascii="Tahoma" w:hAnsi="Tahoma" w:cs="Tahoma"/>
          <w:sz w:val="24"/>
          <w:szCs w:val="24"/>
        </w:rPr>
        <w:t>,</w:t>
      </w:r>
      <w:r>
        <w:rPr>
          <w:rFonts w:ascii="Tahoma" w:hAnsi="Tahoma" w:cs="Tahoma"/>
          <w:sz w:val="24"/>
          <w:szCs w:val="24"/>
        </w:rPr>
        <w:t xml:space="preserve"> Venezuela y Brasil, entre otros. </w:t>
      </w:r>
    </w:p>
    <w:p w14:paraId="060BCC57" w14:textId="2C5169BB" w:rsidR="00417797" w:rsidRDefault="008531E8" w:rsidP="00937A6E">
      <w:pPr>
        <w:spacing w:line="360" w:lineRule="auto"/>
        <w:ind w:firstLine="708"/>
        <w:jc w:val="both"/>
        <w:rPr>
          <w:rFonts w:ascii="Tahoma" w:hAnsi="Tahoma" w:cs="Tahoma"/>
          <w:sz w:val="24"/>
          <w:szCs w:val="24"/>
        </w:rPr>
      </w:pPr>
      <w:r>
        <w:rPr>
          <w:rFonts w:ascii="Tahoma" w:hAnsi="Tahoma" w:cs="Tahoma"/>
          <w:sz w:val="24"/>
          <w:szCs w:val="24"/>
        </w:rPr>
        <w:t>El Código Civil y Comercial argentino, que entró en vigor el 1 de agosto de 2015, redu</w:t>
      </w:r>
      <w:r w:rsidR="0050485D">
        <w:rPr>
          <w:rFonts w:ascii="Tahoma" w:hAnsi="Tahoma" w:cs="Tahoma"/>
          <w:sz w:val="24"/>
          <w:szCs w:val="24"/>
        </w:rPr>
        <w:t>jo</w:t>
      </w:r>
      <w:r>
        <w:rPr>
          <w:rFonts w:ascii="Tahoma" w:hAnsi="Tahoma" w:cs="Tahoma"/>
          <w:sz w:val="24"/>
          <w:szCs w:val="24"/>
        </w:rPr>
        <w:t xml:space="preserve"> la cuantía de la legítima de los descendientes, que pas</w:t>
      </w:r>
      <w:r w:rsidR="0050485D">
        <w:rPr>
          <w:rFonts w:ascii="Tahoma" w:hAnsi="Tahoma" w:cs="Tahoma"/>
          <w:sz w:val="24"/>
          <w:szCs w:val="24"/>
        </w:rPr>
        <w:t>ó</w:t>
      </w:r>
      <w:r>
        <w:rPr>
          <w:rFonts w:ascii="Tahoma" w:hAnsi="Tahoma" w:cs="Tahoma"/>
          <w:sz w:val="24"/>
          <w:szCs w:val="24"/>
        </w:rPr>
        <w:t xml:space="preserve"> de 4/5 a 2/3, y la de los ascendientes, que pas</w:t>
      </w:r>
      <w:r w:rsidR="0050485D">
        <w:rPr>
          <w:rFonts w:ascii="Tahoma" w:hAnsi="Tahoma" w:cs="Tahoma"/>
          <w:sz w:val="24"/>
          <w:szCs w:val="24"/>
        </w:rPr>
        <w:t>ó</w:t>
      </w:r>
      <w:r>
        <w:rPr>
          <w:rFonts w:ascii="Tahoma" w:hAnsi="Tahoma" w:cs="Tahoma"/>
          <w:sz w:val="24"/>
          <w:szCs w:val="24"/>
        </w:rPr>
        <w:t xml:space="preserve"> de 2/3 a </w:t>
      </w:r>
      <w:r w:rsidR="00937A6E">
        <w:rPr>
          <w:rFonts w:ascii="Tahoma" w:hAnsi="Tahoma" w:cs="Tahoma"/>
          <w:sz w:val="24"/>
          <w:szCs w:val="24"/>
        </w:rPr>
        <w:t xml:space="preserve"> ½,</w:t>
      </w:r>
      <w:r>
        <w:rPr>
          <w:rFonts w:ascii="Tahoma" w:hAnsi="Tahoma" w:cs="Tahoma"/>
          <w:sz w:val="24"/>
          <w:szCs w:val="24"/>
        </w:rPr>
        <w:t xml:space="preserve"> introduciendo la mejora solo a favor de descendientes o ascendientes con discapacidad.</w:t>
      </w:r>
    </w:p>
    <w:p w14:paraId="1CFB5526" w14:textId="2DDC2DC8" w:rsidR="00DB373E" w:rsidRDefault="008531E8" w:rsidP="00240520">
      <w:pPr>
        <w:spacing w:line="360" w:lineRule="auto"/>
        <w:jc w:val="both"/>
        <w:rPr>
          <w:rFonts w:ascii="Tahoma" w:hAnsi="Tahoma" w:cs="Tahoma"/>
          <w:sz w:val="24"/>
          <w:szCs w:val="24"/>
        </w:rPr>
      </w:pPr>
      <w:r>
        <w:rPr>
          <w:rFonts w:ascii="Tahoma" w:hAnsi="Tahoma" w:cs="Tahoma"/>
          <w:sz w:val="24"/>
          <w:szCs w:val="24"/>
        </w:rPr>
        <w:tab/>
      </w:r>
      <w:r w:rsidRPr="00937A6E">
        <w:rPr>
          <w:rFonts w:ascii="Tahoma" w:hAnsi="Tahoma" w:cs="Tahoma"/>
          <w:i/>
          <w:iCs/>
          <w:sz w:val="24"/>
          <w:szCs w:val="24"/>
        </w:rPr>
        <w:t>Dentro del sistema de legítima asistencial</w:t>
      </w:r>
      <w:r>
        <w:rPr>
          <w:rFonts w:ascii="Tahoma" w:hAnsi="Tahoma" w:cs="Tahoma"/>
          <w:sz w:val="24"/>
          <w:szCs w:val="24"/>
        </w:rPr>
        <w:t>, se encuentran</w:t>
      </w:r>
      <w:r w:rsidR="00DB373E">
        <w:rPr>
          <w:rFonts w:ascii="Tahoma" w:hAnsi="Tahoma" w:cs="Tahoma"/>
          <w:sz w:val="24"/>
          <w:szCs w:val="24"/>
        </w:rPr>
        <w:t>, entre otros:</w:t>
      </w:r>
    </w:p>
    <w:p w14:paraId="576929B7" w14:textId="0C654B50" w:rsidR="008531E8" w:rsidRDefault="008531E8" w:rsidP="00DB373E">
      <w:pPr>
        <w:spacing w:line="360" w:lineRule="auto"/>
        <w:ind w:firstLine="708"/>
        <w:jc w:val="both"/>
        <w:rPr>
          <w:rFonts w:ascii="Tahoma" w:hAnsi="Tahoma" w:cs="Tahoma"/>
          <w:sz w:val="24"/>
          <w:szCs w:val="24"/>
        </w:rPr>
      </w:pPr>
      <w:r>
        <w:rPr>
          <w:rFonts w:ascii="Tahoma" w:hAnsi="Tahoma" w:cs="Tahoma"/>
          <w:sz w:val="24"/>
          <w:szCs w:val="24"/>
        </w:rPr>
        <w:t xml:space="preserve"> </w:t>
      </w:r>
      <w:r w:rsidRPr="00937A6E">
        <w:rPr>
          <w:rFonts w:ascii="Tahoma" w:hAnsi="Tahoma" w:cs="Tahoma"/>
          <w:i/>
          <w:iCs/>
          <w:sz w:val="24"/>
          <w:szCs w:val="24"/>
        </w:rPr>
        <w:t>Rusia</w:t>
      </w:r>
      <w:r w:rsidR="00EB2709">
        <w:rPr>
          <w:rStyle w:val="Refdenotaalpie"/>
          <w:rFonts w:ascii="Tahoma" w:hAnsi="Tahoma" w:cs="Tahoma"/>
          <w:i/>
          <w:iCs/>
          <w:sz w:val="24"/>
          <w:szCs w:val="24"/>
        </w:rPr>
        <w:footnoteReference w:id="41"/>
      </w:r>
      <w:r w:rsidR="00DB373E">
        <w:rPr>
          <w:rFonts w:ascii="Tahoma" w:hAnsi="Tahoma" w:cs="Tahoma"/>
          <w:sz w:val="24"/>
          <w:szCs w:val="24"/>
        </w:rPr>
        <w:t>:</w:t>
      </w:r>
      <w:r>
        <w:rPr>
          <w:rFonts w:ascii="Tahoma" w:hAnsi="Tahoma" w:cs="Tahoma"/>
          <w:sz w:val="24"/>
          <w:szCs w:val="24"/>
        </w:rPr>
        <w:t xml:space="preserve"> que establece la libertad de testar con el límite de una legítima subordinada a la protección de personas “que no puedan trabajar”: hijos menores de dieciocho años, hijos, cónyuge, </w:t>
      </w:r>
      <w:r w:rsidR="00FE2F8F">
        <w:rPr>
          <w:rFonts w:ascii="Tahoma" w:hAnsi="Tahoma" w:cs="Tahoma"/>
          <w:sz w:val="24"/>
          <w:szCs w:val="24"/>
        </w:rPr>
        <w:t>padres</w:t>
      </w:r>
      <w:r>
        <w:rPr>
          <w:rFonts w:ascii="Tahoma" w:hAnsi="Tahoma" w:cs="Tahoma"/>
          <w:sz w:val="24"/>
          <w:szCs w:val="24"/>
        </w:rPr>
        <w:t>, personas dependientes del causante incluidas en el círculo de parientes llamados a la sucesión intestada</w:t>
      </w:r>
      <w:r w:rsidR="00FE2F8F">
        <w:rPr>
          <w:rFonts w:ascii="Tahoma" w:hAnsi="Tahoma" w:cs="Tahoma"/>
          <w:sz w:val="24"/>
          <w:szCs w:val="24"/>
        </w:rPr>
        <w:t>, así como personas dependientes del causante, no llamados a la sucesión intestada, que hayan convivido con él al menos durante el año anterior a la apertura de la sucesión</w:t>
      </w:r>
      <w:r w:rsidR="00DB373E">
        <w:rPr>
          <w:rFonts w:ascii="Tahoma" w:hAnsi="Tahoma" w:cs="Tahoma"/>
          <w:sz w:val="24"/>
          <w:szCs w:val="24"/>
        </w:rPr>
        <w:t>, siendo la cuantía de la legítima de la mitad de la cuota abintestato</w:t>
      </w:r>
      <w:r w:rsidR="00025EA9">
        <w:rPr>
          <w:rFonts w:ascii="Tahoma" w:hAnsi="Tahoma" w:cs="Tahoma"/>
          <w:sz w:val="24"/>
          <w:szCs w:val="24"/>
        </w:rPr>
        <w:t>.</w:t>
      </w:r>
    </w:p>
    <w:p w14:paraId="3A4580B6" w14:textId="79A1C6EA" w:rsidR="00025EA9" w:rsidRDefault="00025EA9" w:rsidP="00DB373E">
      <w:pPr>
        <w:spacing w:line="360" w:lineRule="auto"/>
        <w:ind w:firstLine="708"/>
        <w:jc w:val="both"/>
        <w:rPr>
          <w:rFonts w:ascii="Tahoma" w:hAnsi="Tahoma" w:cs="Tahoma"/>
          <w:sz w:val="24"/>
          <w:szCs w:val="24"/>
        </w:rPr>
      </w:pPr>
      <w:r w:rsidRPr="00937A6E">
        <w:rPr>
          <w:rFonts w:ascii="Tahoma" w:hAnsi="Tahoma" w:cs="Tahoma"/>
          <w:i/>
          <w:iCs/>
          <w:sz w:val="24"/>
          <w:szCs w:val="24"/>
        </w:rPr>
        <w:t>Cuba</w:t>
      </w:r>
      <w:r>
        <w:rPr>
          <w:rFonts w:ascii="Tahoma" w:hAnsi="Tahoma" w:cs="Tahoma"/>
          <w:sz w:val="24"/>
          <w:szCs w:val="24"/>
        </w:rPr>
        <w:t>: establece la libertad de testar, únicamente limitada por la protección y asistencia que merecen “los herederos especialmente protegidos”: hijos sus descendientes en caso de haber premuerto, el cónyuge sobreviviente y los ascendientes, “siempre que no estén aptos para trabajar y dependan económicamente del causante”, siendo su cuantía la mitad de la herencia.</w:t>
      </w:r>
    </w:p>
    <w:p w14:paraId="1466459B" w14:textId="0CC7700C" w:rsidR="00602D7F" w:rsidRDefault="00025EA9" w:rsidP="00DB373E">
      <w:pPr>
        <w:spacing w:line="360" w:lineRule="auto"/>
        <w:ind w:firstLine="708"/>
        <w:jc w:val="both"/>
        <w:rPr>
          <w:rFonts w:ascii="Tahoma" w:hAnsi="Tahoma" w:cs="Tahoma"/>
          <w:sz w:val="24"/>
          <w:szCs w:val="24"/>
        </w:rPr>
      </w:pPr>
      <w:r>
        <w:rPr>
          <w:rFonts w:ascii="Tahoma" w:hAnsi="Tahoma" w:cs="Tahoma"/>
          <w:sz w:val="24"/>
          <w:szCs w:val="24"/>
        </w:rPr>
        <w:t xml:space="preserve">Por último, dentro del sistema de libertad de testar, se encuentran la mayor parte de los países del </w:t>
      </w:r>
      <w:r w:rsidRPr="00401FC6">
        <w:rPr>
          <w:rFonts w:ascii="Tahoma" w:hAnsi="Tahoma" w:cs="Tahoma"/>
          <w:i/>
          <w:iCs/>
          <w:sz w:val="24"/>
          <w:szCs w:val="24"/>
        </w:rPr>
        <w:t>Common law</w:t>
      </w:r>
      <w:r>
        <w:rPr>
          <w:rFonts w:ascii="Tahoma" w:hAnsi="Tahoma" w:cs="Tahoma"/>
          <w:sz w:val="24"/>
          <w:szCs w:val="24"/>
        </w:rPr>
        <w:t>: Inglaterra, Estados Unidos, Australia y Nueva Zelanda, aunque</w:t>
      </w:r>
      <w:r w:rsidR="00393AC5">
        <w:rPr>
          <w:rStyle w:val="Refdenotaalpie"/>
          <w:rFonts w:ascii="Tahoma" w:hAnsi="Tahoma" w:cs="Tahoma"/>
          <w:sz w:val="24"/>
          <w:szCs w:val="24"/>
        </w:rPr>
        <w:footnoteReference w:id="42"/>
      </w:r>
      <w:r w:rsidR="00393AC5">
        <w:rPr>
          <w:rFonts w:ascii="Tahoma" w:hAnsi="Tahoma" w:cs="Tahoma"/>
          <w:sz w:val="24"/>
          <w:szCs w:val="24"/>
        </w:rPr>
        <w:t xml:space="preserve"> existen excepciones, como Escocia</w:t>
      </w:r>
      <w:r w:rsidR="00937A6E">
        <w:rPr>
          <w:rStyle w:val="Refdenotaalpie"/>
          <w:rFonts w:ascii="Tahoma" w:hAnsi="Tahoma" w:cs="Tahoma"/>
          <w:sz w:val="24"/>
          <w:szCs w:val="24"/>
        </w:rPr>
        <w:footnoteReference w:id="43"/>
      </w:r>
      <w:r w:rsidR="00393AC5">
        <w:rPr>
          <w:rFonts w:ascii="Tahoma" w:hAnsi="Tahoma" w:cs="Tahoma"/>
          <w:sz w:val="24"/>
          <w:szCs w:val="24"/>
        </w:rPr>
        <w:t xml:space="preserve">, </w:t>
      </w:r>
      <w:r w:rsidR="00EB2709">
        <w:rPr>
          <w:rFonts w:ascii="Tahoma" w:hAnsi="Tahoma" w:cs="Tahoma"/>
          <w:sz w:val="24"/>
          <w:szCs w:val="24"/>
        </w:rPr>
        <w:t>I</w:t>
      </w:r>
      <w:r w:rsidR="00393AC5">
        <w:rPr>
          <w:rFonts w:ascii="Tahoma" w:hAnsi="Tahoma" w:cs="Tahoma"/>
          <w:sz w:val="24"/>
          <w:szCs w:val="24"/>
        </w:rPr>
        <w:t xml:space="preserve">rlanda, </w:t>
      </w:r>
      <w:r w:rsidR="00D912E0">
        <w:rPr>
          <w:rFonts w:ascii="Tahoma" w:hAnsi="Tahoma" w:cs="Tahoma"/>
          <w:sz w:val="24"/>
          <w:szCs w:val="24"/>
        </w:rPr>
        <w:t>Jersey</w:t>
      </w:r>
      <w:r w:rsidR="00393AC5">
        <w:rPr>
          <w:rFonts w:ascii="Tahoma" w:hAnsi="Tahoma" w:cs="Tahoma"/>
          <w:sz w:val="24"/>
          <w:szCs w:val="24"/>
        </w:rPr>
        <w:t xml:space="preserve"> o la Isla de Man, que recogen la legítima.</w:t>
      </w:r>
    </w:p>
    <w:p w14:paraId="6A30E7B0" w14:textId="08673FF1" w:rsidR="00D912E0" w:rsidRDefault="00393AC5" w:rsidP="00DB373E">
      <w:pPr>
        <w:spacing w:line="360" w:lineRule="auto"/>
        <w:ind w:firstLine="708"/>
        <w:jc w:val="both"/>
        <w:rPr>
          <w:rFonts w:ascii="Tahoma" w:hAnsi="Tahoma" w:cs="Tahoma"/>
          <w:sz w:val="24"/>
          <w:szCs w:val="24"/>
        </w:rPr>
      </w:pPr>
      <w:r>
        <w:rPr>
          <w:rFonts w:ascii="Tahoma" w:hAnsi="Tahoma" w:cs="Tahoma"/>
          <w:sz w:val="24"/>
          <w:szCs w:val="24"/>
        </w:rPr>
        <w:lastRenderedPageBreak/>
        <w:t xml:space="preserve"> </w:t>
      </w:r>
      <w:r w:rsidR="00D912E0">
        <w:rPr>
          <w:rFonts w:ascii="Tahoma" w:hAnsi="Tahoma" w:cs="Tahoma"/>
          <w:sz w:val="24"/>
          <w:szCs w:val="24"/>
        </w:rPr>
        <w:t>No obstante, pese a la libertad de testar general del sistema anglosajón, se contempla la llamada “</w:t>
      </w:r>
      <w:r w:rsidR="00D912E0" w:rsidRPr="00D912E0">
        <w:rPr>
          <w:rFonts w:ascii="Tahoma" w:hAnsi="Tahoma" w:cs="Tahoma"/>
          <w:i/>
          <w:iCs/>
          <w:sz w:val="24"/>
          <w:szCs w:val="24"/>
        </w:rPr>
        <w:t>family provision”</w:t>
      </w:r>
      <w:r w:rsidR="00D912E0">
        <w:rPr>
          <w:rFonts w:ascii="Tahoma" w:hAnsi="Tahoma" w:cs="Tahoma"/>
          <w:sz w:val="24"/>
          <w:szCs w:val="24"/>
        </w:rPr>
        <w:t xml:space="preserve"> -provisión alimenticia-</w:t>
      </w:r>
      <w:r w:rsidR="00401FC6">
        <w:rPr>
          <w:rFonts w:ascii="Tahoma" w:hAnsi="Tahoma" w:cs="Tahoma"/>
          <w:sz w:val="24"/>
          <w:szCs w:val="24"/>
        </w:rPr>
        <w:t>. Así</w:t>
      </w:r>
      <w:r w:rsidR="00602D7F">
        <w:rPr>
          <w:rFonts w:ascii="Tahoma" w:hAnsi="Tahoma" w:cs="Tahoma"/>
          <w:sz w:val="24"/>
          <w:szCs w:val="24"/>
        </w:rPr>
        <w:t>,</w:t>
      </w:r>
      <w:r w:rsidR="00401FC6">
        <w:rPr>
          <w:rFonts w:ascii="Tahoma" w:hAnsi="Tahoma" w:cs="Tahoma"/>
          <w:sz w:val="24"/>
          <w:szCs w:val="24"/>
        </w:rPr>
        <w:t xml:space="preserve"> el “</w:t>
      </w:r>
      <w:r w:rsidR="00401FC6" w:rsidRPr="00602D7F">
        <w:rPr>
          <w:rFonts w:ascii="Tahoma" w:hAnsi="Tahoma" w:cs="Tahoma"/>
          <w:i/>
          <w:iCs/>
          <w:sz w:val="24"/>
          <w:szCs w:val="24"/>
        </w:rPr>
        <w:t>act”</w:t>
      </w:r>
      <w:r w:rsidR="00401FC6">
        <w:rPr>
          <w:rFonts w:ascii="Tahoma" w:hAnsi="Tahoma" w:cs="Tahoma"/>
          <w:sz w:val="24"/>
          <w:szCs w:val="24"/>
        </w:rPr>
        <w:t xml:space="preserve"> de 1975 inglés permite que puedan solicitar del juez la provisión para el adecuado mantenimiento el cónyuge y la pareja de hecho, la persona que hubiera vivido en el mismo hogar del fallecido como si fuera cónyuge por un periodo de dos años antes de la muerte del causante, un hijo, cualquier persona tratada por el fallecido como hijo de la familia en la que hubiera ejercido el papel de padre, cualquier persona que en el momento inmediatamente anterior a la muerte del causante hubiera sido mantenido</w:t>
      </w:r>
      <w:r w:rsidR="00602D7F">
        <w:rPr>
          <w:rFonts w:ascii="Tahoma" w:hAnsi="Tahoma" w:cs="Tahoma"/>
          <w:sz w:val="24"/>
          <w:szCs w:val="24"/>
        </w:rPr>
        <w:t>,</w:t>
      </w:r>
      <w:r w:rsidR="00401FC6">
        <w:rPr>
          <w:rFonts w:ascii="Tahoma" w:hAnsi="Tahoma" w:cs="Tahoma"/>
          <w:sz w:val="24"/>
          <w:szCs w:val="24"/>
        </w:rPr>
        <w:t xml:space="preserve"> total o parcialmente</w:t>
      </w:r>
      <w:r w:rsidR="00602D7F">
        <w:rPr>
          <w:rFonts w:ascii="Tahoma" w:hAnsi="Tahoma" w:cs="Tahoma"/>
          <w:sz w:val="24"/>
          <w:szCs w:val="24"/>
        </w:rPr>
        <w:t>,</w:t>
      </w:r>
      <w:r w:rsidR="00401FC6">
        <w:rPr>
          <w:rFonts w:ascii="Tahoma" w:hAnsi="Tahoma" w:cs="Tahoma"/>
          <w:sz w:val="24"/>
          <w:szCs w:val="24"/>
        </w:rPr>
        <w:t xml:space="preserve"> por el fallecido.</w:t>
      </w:r>
    </w:p>
    <w:p w14:paraId="440EE140" w14:textId="05E00D92" w:rsidR="00025EA9" w:rsidRDefault="00393AC5" w:rsidP="00DB373E">
      <w:pPr>
        <w:spacing w:line="360" w:lineRule="auto"/>
        <w:ind w:firstLine="708"/>
        <w:jc w:val="both"/>
        <w:rPr>
          <w:rFonts w:ascii="Tahoma" w:hAnsi="Tahoma" w:cs="Tahoma"/>
          <w:sz w:val="24"/>
          <w:szCs w:val="24"/>
        </w:rPr>
      </w:pPr>
      <w:r>
        <w:rPr>
          <w:rFonts w:ascii="Tahoma" w:hAnsi="Tahoma" w:cs="Tahoma"/>
          <w:sz w:val="24"/>
          <w:szCs w:val="24"/>
        </w:rPr>
        <w:t xml:space="preserve">También han adoptado el </w:t>
      </w:r>
      <w:r w:rsidRPr="00583644">
        <w:rPr>
          <w:rFonts w:ascii="Tahoma" w:hAnsi="Tahoma" w:cs="Tahoma"/>
          <w:i/>
          <w:iCs/>
          <w:sz w:val="24"/>
          <w:szCs w:val="24"/>
        </w:rPr>
        <w:t xml:space="preserve">sistema de libertad de testar países iberoamericanos, </w:t>
      </w:r>
      <w:r>
        <w:rPr>
          <w:rFonts w:ascii="Tahoma" w:hAnsi="Tahoma" w:cs="Tahoma"/>
          <w:sz w:val="24"/>
          <w:szCs w:val="24"/>
        </w:rPr>
        <w:t xml:space="preserve">como Méjico, El </w:t>
      </w:r>
      <w:r w:rsidR="0071644B">
        <w:rPr>
          <w:rFonts w:ascii="Tahoma" w:hAnsi="Tahoma" w:cs="Tahoma"/>
          <w:sz w:val="24"/>
          <w:szCs w:val="24"/>
        </w:rPr>
        <w:t>S</w:t>
      </w:r>
      <w:r>
        <w:rPr>
          <w:rFonts w:ascii="Tahoma" w:hAnsi="Tahoma" w:cs="Tahoma"/>
          <w:sz w:val="24"/>
          <w:szCs w:val="24"/>
        </w:rPr>
        <w:t>alvador, Honduras, Panamá y Nicaragua, si bien reconociendo un derecho de alimentos</w:t>
      </w:r>
      <w:r w:rsidR="0071644B">
        <w:rPr>
          <w:rFonts w:ascii="Tahoma" w:hAnsi="Tahoma" w:cs="Tahoma"/>
          <w:sz w:val="24"/>
          <w:szCs w:val="24"/>
        </w:rPr>
        <w:t xml:space="preserve"> a determinadas personas relacionadas con el causante</w:t>
      </w:r>
      <w:r>
        <w:rPr>
          <w:rFonts w:ascii="Tahoma" w:hAnsi="Tahoma" w:cs="Tahoma"/>
          <w:sz w:val="24"/>
          <w:szCs w:val="24"/>
        </w:rPr>
        <w:t xml:space="preserve">. Así, </w:t>
      </w:r>
      <w:r w:rsidR="0071644B">
        <w:rPr>
          <w:rFonts w:ascii="Tahoma" w:hAnsi="Tahoma" w:cs="Tahoma"/>
          <w:sz w:val="24"/>
          <w:szCs w:val="24"/>
        </w:rPr>
        <w:t xml:space="preserve">por ejemplo, </w:t>
      </w:r>
      <w:r>
        <w:rPr>
          <w:rFonts w:ascii="Tahoma" w:hAnsi="Tahoma" w:cs="Tahoma"/>
          <w:sz w:val="24"/>
          <w:szCs w:val="24"/>
        </w:rPr>
        <w:t>el Código Civil federal mejicano, en su artículo 1368, establece que el testador debe dejar alimentos a los descendientes menores de dieciocho años respecto de los que tenga obligación legal de proporcionar alimentos en el momento de la muerte, a los descendientes que estén imposibilitados de trabajar, cualquiera que sea su edad</w:t>
      </w:r>
      <w:r w:rsidR="00583644">
        <w:rPr>
          <w:rFonts w:ascii="Tahoma" w:hAnsi="Tahoma" w:cs="Tahoma"/>
          <w:sz w:val="24"/>
          <w:szCs w:val="24"/>
        </w:rPr>
        <w:t>,</w:t>
      </w:r>
      <w:r>
        <w:rPr>
          <w:rFonts w:ascii="Tahoma" w:hAnsi="Tahoma" w:cs="Tahoma"/>
          <w:sz w:val="24"/>
          <w:szCs w:val="24"/>
        </w:rPr>
        <w:t xml:space="preserve"> cuando exista la obligación referida anteriormente, al cónyuge supérstite cuando esté impedido de trabajar y no tenga bienes suficientes, a los ascendientes, a la persona con quien el testador vivió como si fuera su cónyuge durante los </w:t>
      </w:r>
      <w:r w:rsidR="00A36BDD">
        <w:rPr>
          <w:rFonts w:ascii="Tahoma" w:hAnsi="Tahoma" w:cs="Tahoma"/>
          <w:sz w:val="24"/>
          <w:szCs w:val="24"/>
        </w:rPr>
        <w:t>cinco</w:t>
      </w:r>
      <w:r>
        <w:rPr>
          <w:rFonts w:ascii="Tahoma" w:hAnsi="Tahoma" w:cs="Tahoma"/>
          <w:sz w:val="24"/>
          <w:szCs w:val="24"/>
        </w:rPr>
        <w:t xml:space="preserve"> años que precedieron inmediatamente a su muerte o con quien tuvo hijos, siempre que ambos hayan </w:t>
      </w:r>
      <w:r w:rsidR="00A36BDD">
        <w:rPr>
          <w:rFonts w:ascii="Tahoma" w:hAnsi="Tahoma" w:cs="Tahoma"/>
          <w:sz w:val="24"/>
          <w:szCs w:val="24"/>
        </w:rPr>
        <w:t>permanecido</w:t>
      </w:r>
      <w:r>
        <w:rPr>
          <w:rFonts w:ascii="Tahoma" w:hAnsi="Tahoma" w:cs="Tahoma"/>
          <w:sz w:val="24"/>
          <w:szCs w:val="24"/>
        </w:rPr>
        <w:t xml:space="preserve"> libres del matrimonio y que esté impedido de trabajar; a los hermanos y demás parientes colaterales menores de edad si no tienen bienes para subvenir a sus necesidades.</w:t>
      </w:r>
    </w:p>
    <w:p w14:paraId="508D4AB7" w14:textId="6244D659" w:rsidR="00583644" w:rsidRPr="00583644" w:rsidRDefault="00583644" w:rsidP="00583644">
      <w:pPr>
        <w:pStyle w:val="Prrafodelista"/>
        <w:numPr>
          <w:ilvl w:val="0"/>
          <w:numId w:val="3"/>
        </w:numPr>
        <w:spacing w:line="360" w:lineRule="auto"/>
        <w:jc w:val="both"/>
        <w:rPr>
          <w:rFonts w:ascii="Tahoma" w:hAnsi="Tahoma" w:cs="Tahoma"/>
          <w:b/>
          <w:bCs/>
          <w:sz w:val="24"/>
          <w:szCs w:val="24"/>
        </w:rPr>
      </w:pPr>
      <w:r w:rsidRPr="00583644">
        <w:rPr>
          <w:rFonts w:ascii="Tahoma" w:hAnsi="Tahoma" w:cs="Tahoma"/>
          <w:b/>
          <w:bCs/>
          <w:sz w:val="24"/>
          <w:szCs w:val="24"/>
        </w:rPr>
        <w:t>Argumentos a favor y en contra de la conservación de las legítimas.</w:t>
      </w:r>
    </w:p>
    <w:p w14:paraId="204BCCC7" w14:textId="2490ECBE" w:rsidR="006F5211" w:rsidRDefault="006F5211" w:rsidP="00DB373E">
      <w:pPr>
        <w:spacing w:line="360" w:lineRule="auto"/>
        <w:ind w:firstLine="708"/>
        <w:jc w:val="both"/>
        <w:rPr>
          <w:rFonts w:ascii="Tahoma" w:hAnsi="Tahoma" w:cs="Tahoma"/>
          <w:sz w:val="24"/>
          <w:szCs w:val="24"/>
        </w:rPr>
      </w:pPr>
      <w:r>
        <w:rPr>
          <w:rFonts w:ascii="Tahoma" w:hAnsi="Tahoma" w:cs="Tahoma"/>
          <w:sz w:val="24"/>
          <w:szCs w:val="24"/>
        </w:rPr>
        <w:t>Pero ¿cuáles son los argumentos que se esgrimen para justificar el mantenimiento de las legítimas?</w:t>
      </w:r>
    </w:p>
    <w:p w14:paraId="5FB33060" w14:textId="374913C1" w:rsidR="006F5211" w:rsidRDefault="001A2314" w:rsidP="00DB373E">
      <w:pPr>
        <w:spacing w:line="360" w:lineRule="auto"/>
        <w:ind w:firstLine="708"/>
        <w:jc w:val="both"/>
        <w:rPr>
          <w:rFonts w:ascii="Tahoma" w:hAnsi="Tahoma" w:cs="Tahoma"/>
          <w:sz w:val="24"/>
          <w:szCs w:val="24"/>
        </w:rPr>
      </w:pPr>
      <w:r>
        <w:rPr>
          <w:rFonts w:ascii="Tahoma" w:hAnsi="Tahoma" w:cs="Tahoma"/>
          <w:sz w:val="24"/>
          <w:szCs w:val="24"/>
        </w:rPr>
        <w:lastRenderedPageBreak/>
        <w:t xml:space="preserve">Han sido varias las justificaciones que se han dado para mantener el sistema legitimario, entre las que cabe mencionar las siguientes: 1) Que son una </w:t>
      </w:r>
      <w:r w:rsidRPr="008A6D50">
        <w:rPr>
          <w:rFonts w:ascii="Tahoma" w:hAnsi="Tahoma" w:cs="Tahoma"/>
          <w:i/>
          <w:iCs/>
          <w:sz w:val="24"/>
          <w:szCs w:val="24"/>
        </w:rPr>
        <w:t>cuestión de Derecho Natural</w:t>
      </w:r>
      <w:r>
        <w:rPr>
          <w:rStyle w:val="Refdenotaalpie"/>
          <w:rFonts w:ascii="Tahoma" w:hAnsi="Tahoma" w:cs="Tahoma"/>
          <w:sz w:val="24"/>
          <w:szCs w:val="24"/>
        </w:rPr>
        <w:footnoteReference w:id="44"/>
      </w:r>
      <w:r>
        <w:rPr>
          <w:rFonts w:ascii="Tahoma" w:hAnsi="Tahoma" w:cs="Tahoma"/>
          <w:sz w:val="24"/>
          <w:szCs w:val="24"/>
        </w:rPr>
        <w:t xml:space="preserve">, argumento que ya aparecía en Las Partidas. Frente a esto se ha señalado que los deberes impuestos por el Derecho Natural no necesitan regulación. 2) La </w:t>
      </w:r>
      <w:r w:rsidRPr="008A6D50">
        <w:rPr>
          <w:rFonts w:ascii="Tahoma" w:hAnsi="Tahoma" w:cs="Tahoma"/>
          <w:i/>
          <w:iCs/>
          <w:sz w:val="24"/>
          <w:szCs w:val="24"/>
        </w:rPr>
        <w:t>unidad familiar</w:t>
      </w:r>
      <w:r w:rsidR="00BB267C">
        <w:rPr>
          <w:rStyle w:val="Refdenotaalpie"/>
          <w:rFonts w:ascii="Tahoma" w:hAnsi="Tahoma" w:cs="Tahoma"/>
          <w:sz w:val="24"/>
          <w:szCs w:val="24"/>
        </w:rPr>
        <w:footnoteReference w:id="45"/>
      </w:r>
      <w:r>
        <w:rPr>
          <w:rFonts w:ascii="Tahoma" w:hAnsi="Tahoma" w:cs="Tahoma"/>
          <w:sz w:val="24"/>
          <w:szCs w:val="24"/>
        </w:rPr>
        <w:t xml:space="preserve"> o la existencia de un tácito condominio sobre los bienes de los padres. </w:t>
      </w:r>
      <w:r w:rsidR="00A56A00">
        <w:rPr>
          <w:rFonts w:ascii="Tahoma" w:hAnsi="Tahoma" w:cs="Tahoma"/>
          <w:sz w:val="24"/>
          <w:szCs w:val="24"/>
        </w:rPr>
        <w:t>Frente a ello se ha puesto de manifiesto el cambio de modelo de familia producido -se ha pasado de una familia patriarcal a una nuclear-; ahora no son los hijos los que ayudan a los padres a mantener el patrimonio familiar</w:t>
      </w:r>
      <w:r w:rsidR="000D63AA">
        <w:rPr>
          <w:rStyle w:val="Refdenotaalpie"/>
          <w:rFonts w:ascii="Tahoma" w:hAnsi="Tahoma" w:cs="Tahoma"/>
          <w:sz w:val="24"/>
          <w:szCs w:val="24"/>
        </w:rPr>
        <w:footnoteReference w:id="46"/>
      </w:r>
      <w:r w:rsidR="00A56A00">
        <w:rPr>
          <w:rFonts w:ascii="Tahoma" w:hAnsi="Tahoma" w:cs="Tahoma"/>
          <w:sz w:val="24"/>
          <w:szCs w:val="24"/>
        </w:rPr>
        <w:t>, sino que son los padres los que ayudan y mantienen a sus hijos hasta que se independizan.</w:t>
      </w:r>
      <w:r w:rsidR="000D63AA">
        <w:rPr>
          <w:rFonts w:ascii="Tahoma" w:hAnsi="Tahoma" w:cs="Tahoma"/>
          <w:sz w:val="24"/>
          <w:szCs w:val="24"/>
        </w:rPr>
        <w:t xml:space="preserve"> 3) El </w:t>
      </w:r>
      <w:r w:rsidR="000D63AA" w:rsidRPr="008A6D50">
        <w:rPr>
          <w:rFonts w:ascii="Tahoma" w:hAnsi="Tahoma" w:cs="Tahoma"/>
          <w:i/>
          <w:iCs/>
          <w:sz w:val="24"/>
          <w:szCs w:val="24"/>
        </w:rPr>
        <w:t>deber de los padres de alimentar a sus hijos</w:t>
      </w:r>
      <w:r w:rsidR="000D63AA">
        <w:rPr>
          <w:rFonts w:ascii="Tahoma" w:hAnsi="Tahoma" w:cs="Tahoma"/>
          <w:sz w:val="24"/>
          <w:szCs w:val="24"/>
        </w:rPr>
        <w:t xml:space="preserve">: Muertos los padres, los hijos tienen derecho a la herencia, debiendo los padres reservar una porción de bienes que asegure a sus hijos alimentos años después de la muerte de aquéllos. En contra, cabe decir que el deber de alimentos no justifica el sistema de legítimas, sino, a lo sumo, la necesidad de reconocer un deber de alimentos, figura jurídica distinta y no subsumible en las legítimas. </w:t>
      </w:r>
      <w:r w:rsidR="00E51816">
        <w:rPr>
          <w:rFonts w:ascii="Tahoma" w:hAnsi="Tahoma" w:cs="Tahoma"/>
          <w:sz w:val="24"/>
          <w:szCs w:val="24"/>
        </w:rPr>
        <w:t xml:space="preserve">4) </w:t>
      </w:r>
      <w:r w:rsidR="00E51816" w:rsidRPr="00C37628">
        <w:rPr>
          <w:rFonts w:ascii="Tahoma" w:hAnsi="Tahoma" w:cs="Tahoma"/>
          <w:i/>
          <w:iCs/>
          <w:sz w:val="24"/>
          <w:szCs w:val="24"/>
        </w:rPr>
        <w:t>El principio de igualdad</w:t>
      </w:r>
      <w:r w:rsidR="00E51816">
        <w:rPr>
          <w:rFonts w:ascii="Tahoma" w:hAnsi="Tahoma" w:cs="Tahoma"/>
          <w:sz w:val="24"/>
          <w:szCs w:val="24"/>
        </w:rPr>
        <w:t xml:space="preserve"> como criterio de justicia</w:t>
      </w:r>
      <w:r w:rsidR="00E51816">
        <w:rPr>
          <w:rStyle w:val="Refdenotaalpie"/>
          <w:rFonts w:ascii="Tahoma" w:hAnsi="Tahoma" w:cs="Tahoma"/>
          <w:sz w:val="24"/>
          <w:szCs w:val="24"/>
        </w:rPr>
        <w:footnoteReference w:id="47"/>
      </w:r>
      <w:r w:rsidR="00E51816">
        <w:rPr>
          <w:rFonts w:ascii="Tahoma" w:hAnsi="Tahoma" w:cs="Tahoma"/>
          <w:sz w:val="24"/>
          <w:szCs w:val="24"/>
        </w:rPr>
        <w:t>.</w:t>
      </w:r>
      <w:r w:rsidR="00274570">
        <w:rPr>
          <w:rFonts w:ascii="Tahoma" w:hAnsi="Tahoma" w:cs="Tahoma"/>
          <w:sz w:val="24"/>
          <w:szCs w:val="24"/>
        </w:rPr>
        <w:t xml:space="preserve"> A lo que se ha opuesto que la idea de legítima igualitaria puede ir en contra de todo principio de equidad, desconociendo las particularidades del caso concreto. Como dijo VALLET</w:t>
      </w:r>
      <w:r w:rsidR="00274570">
        <w:rPr>
          <w:rStyle w:val="Refdenotaalpie"/>
          <w:rFonts w:ascii="Tahoma" w:hAnsi="Tahoma" w:cs="Tahoma"/>
          <w:sz w:val="24"/>
          <w:szCs w:val="24"/>
        </w:rPr>
        <w:footnoteReference w:id="48"/>
      </w:r>
      <w:r w:rsidR="00274570">
        <w:rPr>
          <w:rFonts w:ascii="Tahoma" w:hAnsi="Tahoma" w:cs="Tahoma"/>
          <w:sz w:val="24"/>
          <w:szCs w:val="24"/>
        </w:rPr>
        <w:t xml:space="preserve"> poniendo el ejemplo de los hermanos, uno de los cuales recibe estudios y abandona el </w:t>
      </w:r>
      <w:r w:rsidR="00D01EB5">
        <w:rPr>
          <w:rFonts w:ascii="Tahoma" w:hAnsi="Tahoma" w:cs="Tahoma"/>
          <w:sz w:val="24"/>
          <w:szCs w:val="24"/>
        </w:rPr>
        <w:t>hogar, el</w:t>
      </w:r>
      <w:r w:rsidR="00274570">
        <w:rPr>
          <w:rFonts w:ascii="Tahoma" w:hAnsi="Tahoma" w:cs="Tahoma"/>
          <w:sz w:val="24"/>
          <w:szCs w:val="24"/>
        </w:rPr>
        <w:t xml:space="preserve"> otro queda en la casa ayudando al padre a mantener la explotación y a educar y mantener a los demás hermanos: resultaría injusto que, al fallecimiento del padre, tengan los hijos que repartir a </w:t>
      </w:r>
      <w:r w:rsidR="00274570">
        <w:rPr>
          <w:rFonts w:ascii="Tahoma" w:hAnsi="Tahoma" w:cs="Tahoma"/>
          <w:sz w:val="24"/>
          <w:szCs w:val="24"/>
        </w:rPr>
        <w:lastRenderedPageBreak/>
        <w:t>partes iguales las tierras que sólo uno trabaj</w:t>
      </w:r>
      <w:r w:rsidR="00C37628">
        <w:rPr>
          <w:rFonts w:ascii="Tahoma" w:hAnsi="Tahoma" w:cs="Tahoma"/>
          <w:sz w:val="24"/>
          <w:szCs w:val="24"/>
        </w:rPr>
        <w:t>ó</w:t>
      </w:r>
      <w:r w:rsidR="00274570">
        <w:rPr>
          <w:rFonts w:ascii="Tahoma" w:hAnsi="Tahoma" w:cs="Tahoma"/>
          <w:sz w:val="24"/>
          <w:szCs w:val="24"/>
        </w:rPr>
        <w:t xml:space="preserve"> y con cuyo esfuerzo se dio carrera a los demás que no las trabajaron.</w:t>
      </w:r>
    </w:p>
    <w:p w14:paraId="4442190C" w14:textId="0F9E3A35" w:rsidR="00C034FA" w:rsidRDefault="00D01EB5" w:rsidP="00A01A0A">
      <w:pPr>
        <w:spacing w:line="360" w:lineRule="auto"/>
        <w:ind w:firstLine="708"/>
        <w:jc w:val="both"/>
        <w:rPr>
          <w:rFonts w:ascii="Tahoma" w:hAnsi="Tahoma" w:cs="Tahoma"/>
          <w:sz w:val="24"/>
          <w:szCs w:val="24"/>
        </w:rPr>
      </w:pPr>
      <w:r w:rsidRPr="002251F3">
        <w:rPr>
          <w:rFonts w:ascii="Tahoma" w:hAnsi="Tahoma" w:cs="Tahoma"/>
          <w:i/>
          <w:iCs/>
          <w:sz w:val="24"/>
          <w:szCs w:val="24"/>
        </w:rPr>
        <w:t>Hoy</w:t>
      </w:r>
      <w:r>
        <w:rPr>
          <w:rFonts w:ascii="Tahoma" w:hAnsi="Tahoma" w:cs="Tahoma"/>
          <w:sz w:val="24"/>
          <w:szCs w:val="24"/>
        </w:rPr>
        <w:t xml:space="preserve">, sin embargo, </w:t>
      </w:r>
      <w:r w:rsidRPr="002251F3">
        <w:rPr>
          <w:rFonts w:ascii="Tahoma" w:hAnsi="Tahoma" w:cs="Tahoma"/>
          <w:i/>
          <w:iCs/>
          <w:sz w:val="24"/>
          <w:szCs w:val="24"/>
        </w:rPr>
        <w:t>los argumentos más utilizados</w:t>
      </w:r>
      <w:r>
        <w:rPr>
          <w:rFonts w:ascii="Tahoma" w:hAnsi="Tahoma" w:cs="Tahoma"/>
          <w:sz w:val="24"/>
          <w:szCs w:val="24"/>
        </w:rPr>
        <w:t xml:space="preserve"> para mantener las legítimas son los siguientes: 1) La legítima es un auténtico </w:t>
      </w:r>
      <w:r w:rsidRPr="002251F3">
        <w:rPr>
          <w:rFonts w:ascii="Tahoma" w:hAnsi="Tahoma" w:cs="Tahoma"/>
          <w:i/>
          <w:iCs/>
          <w:sz w:val="24"/>
          <w:szCs w:val="24"/>
        </w:rPr>
        <w:t>símbolo</w:t>
      </w:r>
      <w:r w:rsidR="009105F7">
        <w:rPr>
          <w:rFonts w:ascii="Tahoma" w:hAnsi="Tahoma" w:cs="Tahoma"/>
          <w:sz w:val="24"/>
          <w:szCs w:val="24"/>
        </w:rPr>
        <w:t>,</w:t>
      </w:r>
      <w:r>
        <w:rPr>
          <w:rFonts w:ascii="Tahoma" w:hAnsi="Tahoma" w:cs="Tahoma"/>
          <w:sz w:val="24"/>
          <w:szCs w:val="24"/>
        </w:rPr>
        <w:t xml:space="preserve"> como elemento fundamental de protección de la familia y como figura jurídica esencial recogida por la </w:t>
      </w:r>
      <w:r w:rsidRPr="002251F3">
        <w:rPr>
          <w:rFonts w:ascii="Tahoma" w:hAnsi="Tahoma" w:cs="Tahoma"/>
          <w:i/>
          <w:iCs/>
          <w:sz w:val="24"/>
          <w:szCs w:val="24"/>
        </w:rPr>
        <w:t>tradición</w:t>
      </w:r>
      <w:r>
        <w:rPr>
          <w:rFonts w:ascii="Tahoma" w:hAnsi="Tahoma" w:cs="Tahoma"/>
          <w:sz w:val="24"/>
          <w:szCs w:val="24"/>
        </w:rPr>
        <w:t xml:space="preserve">. Aunque se pudiera reducir su cuantía, ha de mantenerse, dada la inercia legal existente, puesto que su supresión supondría un cambio radical difícilmente asumible. Este argumento </w:t>
      </w:r>
      <w:r w:rsidR="00D40592">
        <w:rPr>
          <w:rFonts w:ascii="Tahoma" w:hAnsi="Tahoma" w:cs="Tahoma"/>
          <w:sz w:val="24"/>
          <w:szCs w:val="24"/>
        </w:rPr>
        <w:t>no es sostenible</w:t>
      </w:r>
      <w:r w:rsidR="002251F3">
        <w:rPr>
          <w:rFonts w:ascii="Tahoma" w:hAnsi="Tahoma" w:cs="Tahoma"/>
          <w:sz w:val="24"/>
          <w:szCs w:val="24"/>
        </w:rPr>
        <w:t xml:space="preserve">, puesto que </w:t>
      </w:r>
      <w:r w:rsidR="002251F3" w:rsidRPr="00D40592">
        <w:rPr>
          <w:rFonts w:ascii="Tahoma" w:hAnsi="Tahoma" w:cs="Tahoma"/>
          <w:i/>
          <w:iCs/>
          <w:sz w:val="24"/>
          <w:szCs w:val="24"/>
        </w:rPr>
        <w:t>las</w:t>
      </w:r>
      <w:r w:rsidR="009105F7" w:rsidRPr="00D40592">
        <w:rPr>
          <w:rFonts w:ascii="Tahoma" w:hAnsi="Tahoma" w:cs="Tahoma"/>
          <w:i/>
          <w:iCs/>
          <w:sz w:val="24"/>
          <w:szCs w:val="24"/>
        </w:rPr>
        <w:t xml:space="preserve"> normas han de cambiar y adaptarse a las modificaciones producidas en la sociedad</w:t>
      </w:r>
      <w:r w:rsidR="009105F7">
        <w:rPr>
          <w:rFonts w:ascii="Tahoma" w:hAnsi="Tahoma" w:cs="Tahoma"/>
          <w:sz w:val="24"/>
          <w:szCs w:val="24"/>
        </w:rPr>
        <w:t xml:space="preserve">. Mantener las legítimas sin un fundamento jurídico sólido para excluir la libertad de testar, por el temor a los efectos que un cambio de tal envergadura, habida cuenta de la tradición, pueda suponer, </w:t>
      </w:r>
      <w:r w:rsidR="002251F3">
        <w:rPr>
          <w:rFonts w:ascii="Tahoma" w:hAnsi="Tahoma" w:cs="Tahoma"/>
          <w:sz w:val="24"/>
          <w:szCs w:val="24"/>
        </w:rPr>
        <w:t>no es razonable</w:t>
      </w:r>
      <w:r w:rsidR="009105F7">
        <w:rPr>
          <w:rFonts w:ascii="Tahoma" w:hAnsi="Tahoma" w:cs="Tahoma"/>
          <w:sz w:val="24"/>
          <w:szCs w:val="24"/>
        </w:rPr>
        <w:t xml:space="preserve">. 2) La </w:t>
      </w:r>
      <w:r w:rsidR="009105F7" w:rsidRPr="002251F3">
        <w:rPr>
          <w:rFonts w:ascii="Tahoma" w:hAnsi="Tahoma" w:cs="Tahoma"/>
          <w:i/>
          <w:iCs/>
          <w:sz w:val="24"/>
          <w:szCs w:val="24"/>
        </w:rPr>
        <w:t>solidaridad familiar o intergeneracional</w:t>
      </w:r>
      <w:r w:rsidR="00EC564C">
        <w:rPr>
          <w:rStyle w:val="Refdenotaalpie"/>
          <w:rFonts w:ascii="Tahoma" w:hAnsi="Tahoma" w:cs="Tahoma"/>
          <w:sz w:val="24"/>
          <w:szCs w:val="24"/>
        </w:rPr>
        <w:footnoteReference w:id="49"/>
      </w:r>
      <w:r w:rsidR="009105F7">
        <w:rPr>
          <w:rFonts w:ascii="Tahoma" w:hAnsi="Tahoma" w:cs="Tahoma"/>
          <w:sz w:val="24"/>
          <w:szCs w:val="24"/>
        </w:rPr>
        <w:t>: la legítima cumple hoy en día la importa</w:t>
      </w:r>
      <w:r w:rsidR="009417BD">
        <w:rPr>
          <w:rFonts w:ascii="Tahoma" w:hAnsi="Tahoma" w:cs="Tahoma"/>
          <w:sz w:val="24"/>
          <w:szCs w:val="24"/>
        </w:rPr>
        <w:t>nte</w:t>
      </w:r>
      <w:r w:rsidR="009105F7">
        <w:rPr>
          <w:rFonts w:ascii="Tahoma" w:hAnsi="Tahoma" w:cs="Tahoma"/>
          <w:sz w:val="24"/>
          <w:szCs w:val="24"/>
        </w:rPr>
        <w:t xml:space="preserve"> función de asegurar a los hijos y descendientes una mínima participación en el patrimonio del causante, como consecuencia del </w:t>
      </w:r>
      <w:r w:rsidR="009105F7" w:rsidRPr="002251F3">
        <w:rPr>
          <w:rFonts w:ascii="Tahoma" w:hAnsi="Tahoma" w:cs="Tahoma"/>
          <w:i/>
          <w:iCs/>
          <w:sz w:val="24"/>
          <w:szCs w:val="24"/>
        </w:rPr>
        <w:t>principio de responsabilidad derivado de la procreación</w:t>
      </w:r>
      <w:r w:rsidR="009105F7">
        <w:rPr>
          <w:rFonts w:ascii="Tahoma" w:hAnsi="Tahoma" w:cs="Tahoma"/>
          <w:sz w:val="24"/>
          <w:szCs w:val="24"/>
        </w:rPr>
        <w:t xml:space="preserve"> que debe exigirse a todo </w:t>
      </w:r>
      <w:r w:rsidR="00D40592">
        <w:rPr>
          <w:rFonts w:ascii="Tahoma" w:hAnsi="Tahoma" w:cs="Tahoma"/>
          <w:sz w:val="24"/>
          <w:szCs w:val="24"/>
        </w:rPr>
        <w:t>progenitor</w:t>
      </w:r>
      <w:r w:rsidR="009105F7">
        <w:rPr>
          <w:rFonts w:ascii="Tahoma" w:hAnsi="Tahoma" w:cs="Tahoma"/>
          <w:sz w:val="24"/>
          <w:szCs w:val="24"/>
        </w:rPr>
        <w:t>, siempre que el descendiente haya cumplido, a su vez, sus propios deberes y obligaciones, conforme a un auténtico principio de solidaridad</w:t>
      </w:r>
      <w:r w:rsidR="00A53499">
        <w:rPr>
          <w:rStyle w:val="Refdenotaalpie"/>
          <w:rFonts w:ascii="Tahoma" w:hAnsi="Tahoma" w:cs="Tahoma"/>
          <w:sz w:val="24"/>
          <w:szCs w:val="24"/>
        </w:rPr>
        <w:footnoteReference w:id="50"/>
      </w:r>
      <w:r w:rsidR="009105F7">
        <w:rPr>
          <w:rFonts w:ascii="Tahoma" w:hAnsi="Tahoma" w:cs="Tahoma"/>
          <w:sz w:val="24"/>
          <w:szCs w:val="24"/>
        </w:rPr>
        <w:t>.</w:t>
      </w:r>
      <w:r w:rsidR="009417BD">
        <w:rPr>
          <w:rFonts w:ascii="Tahoma" w:hAnsi="Tahoma" w:cs="Tahoma"/>
          <w:sz w:val="24"/>
          <w:szCs w:val="24"/>
        </w:rPr>
        <w:t xml:space="preserve"> Como crítica a este argumento, se afirma que la responsabilidad de los padres por la procreación</w:t>
      </w:r>
      <w:r w:rsidR="002251F3">
        <w:rPr>
          <w:rFonts w:ascii="Tahoma" w:hAnsi="Tahoma" w:cs="Tahoma"/>
          <w:sz w:val="24"/>
          <w:szCs w:val="24"/>
        </w:rPr>
        <w:t xml:space="preserve"> </w:t>
      </w:r>
      <w:r w:rsidR="009417BD">
        <w:rPr>
          <w:rFonts w:ascii="Tahoma" w:hAnsi="Tahoma" w:cs="Tahoma"/>
          <w:sz w:val="24"/>
          <w:szCs w:val="24"/>
        </w:rPr>
        <w:t xml:space="preserve">sólo ha de durar el tiempo necesario para que los hijos puedan tener autonomía personal y económica; pero que no se explica su existencia incluso en los casos en los que los legitimarios tienen una situación económica más que suficiente, o incluso superior a la del causante. 3) </w:t>
      </w:r>
      <w:r w:rsidR="00452842" w:rsidRPr="002251F3">
        <w:rPr>
          <w:rFonts w:ascii="Tahoma" w:hAnsi="Tahoma" w:cs="Tahoma"/>
          <w:i/>
          <w:iCs/>
          <w:sz w:val="24"/>
          <w:szCs w:val="24"/>
        </w:rPr>
        <w:t>Freno a una posible captación de voluntad.</w:t>
      </w:r>
      <w:r w:rsidR="00452842">
        <w:rPr>
          <w:rFonts w:ascii="Tahoma" w:hAnsi="Tahoma" w:cs="Tahoma"/>
          <w:sz w:val="24"/>
          <w:szCs w:val="24"/>
        </w:rPr>
        <w:t xml:space="preserve"> Si hubiese libertad de </w:t>
      </w:r>
      <w:r w:rsidR="00452842">
        <w:rPr>
          <w:rFonts w:ascii="Tahoma" w:hAnsi="Tahoma" w:cs="Tahoma"/>
          <w:sz w:val="24"/>
          <w:szCs w:val="24"/>
        </w:rPr>
        <w:lastRenderedPageBreak/>
        <w:t xml:space="preserve">testar, existiría el riesgo de que las personas que tienen nuevas relaciones de pareja o, siendo de muy avanzada edad, se vean influenciadas indebidamente para beneficiar, a través de su testamento, a personas que no son sus parientes más cercanos. No es infrecuente el supuesto del padre </w:t>
      </w:r>
      <w:r w:rsidR="00D40592">
        <w:rPr>
          <w:rFonts w:ascii="Tahoma" w:hAnsi="Tahoma" w:cs="Tahoma"/>
          <w:sz w:val="24"/>
          <w:szCs w:val="24"/>
        </w:rPr>
        <w:t xml:space="preserve">o madre </w:t>
      </w:r>
      <w:r w:rsidR="00452842">
        <w:rPr>
          <w:rFonts w:ascii="Tahoma" w:hAnsi="Tahoma" w:cs="Tahoma"/>
          <w:sz w:val="24"/>
          <w:szCs w:val="24"/>
        </w:rPr>
        <w:t>que, al fallecer su cónyuge o al divorciarse, teniendo hijos de su primera relación, tiene de nuevo hijos</w:t>
      </w:r>
      <w:r w:rsidR="002251F3">
        <w:rPr>
          <w:rFonts w:ascii="Tahoma" w:hAnsi="Tahoma" w:cs="Tahoma"/>
          <w:sz w:val="24"/>
          <w:szCs w:val="24"/>
        </w:rPr>
        <w:t>,</w:t>
      </w:r>
      <w:r w:rsidR="00452842">
        <w:rPr>
          <w:rFonts w:ascii="Tahoma" w:hAnsi="Tahoma" w:cs="Tahoma"/>
          <w:sz w:val="24"/>
          <w:szCs w:val="24"/>
        </w:rPr>
        <w:t xml:space="preserve"> perdiendo, en todo o en parte, </w:t>
      </w:r>
      <w:r w:rsidR="00E25870">
        <w:rPr>
          <w:rFonts w:ascii="Tahoma" w:hAnsi="Tahoma" w:cs="Tahoma"/>
          <w:sz w:val="24"/>
          <w:szCs w:val="24"/>
        </w:rPr>
        <w:t>el contacto</w:t>
      </w:r>
      <w:r w:rsidR="00452842">
        <w:rPr>
          <w:rFonts w:ascii="Tahoma" w:hAnsi="Tahoma" w:cs="Tahoma"/>
          <w:sz w:val="24"/>
          <w:szCs w:val="24"/>
        </w:rPr>
        <w:t xml:space="preserve"> con los hijos </w:t>
      </w:r>
      <w:r w:rsidR="002251F3">
        <w:rPr>
          <w:rFonts w:ascii="Tahoma" w:hAnsi="Tahoma" w:cs="Tahoma"/>
          <w:sz w:val="24"/>
          <w:szCs w:val="24"/>
        </w:rPr>
        <w:t>primeramente habidos</w:t>
      </w:r>
      <w:r w:rsidR="00452842">
        <w:rPr>
          <w:rFonts w:ascii="Tahoma" w:hAnsi="Tahoma" w:cs="Tahoma"/>
          <w:sz w:val="24"/>
          <w:szCs w:val="24"/>
        </w:rPr>
        <w:t xml:space="preserve">. En este caso, la legítima supone un freno a la posibilidad de dejar de beneficiar a </w:t>
      </w:r>
      <w:r w:rsidR="002251F3">
        <w:rPr>
          <w:rFonts w:ascii="Tahoma" w:hAnsi="Tahoma" w:cs="Tahoma"/>
          <w:sz w:val="24"/>
          <w:szCs w:val="24"/>
        </w:rPr>
        <w:t>estos hijos,</w:t>
      </w:r>
      <w:r w:rsidR="00452842">
        <w:rPr>
          <w:rFonts w:ascii="Tahoma" w:hAnsi="Tahoma" w:cs="Tahoma"/>
          <w:sz w:val="24"/>
          <w:szCs w:val="24"/>
        </w:rPr>
        <w:t xml:space="preserve"> favoreciendo, en cambio, a su nueva pareja o a los hijos habidos con ésta, o a los hijos que ya tenía de una anterior relación dicha nueva pareja</w:t>
      </w:r>
      <w:r w:rsidR="00E25870">
        <w:rPr>
          <w:rStyle w:val="Refdenotaalpie"/>
          <w:rFonts w:ascii="Tahoma" w:hAnsi="Tahoma" w:cs="Tahoma"/>
          <w:sz w:val="24"/>
          <w:szCs w:val="24"/>
        </w:rPr>
        <w:footnoteReference w:id="51"/>
      </w:r>
      <w:r w:rsidR="00452842">
        <w:rPr>
          <w:rFonts w:ascii="Tahoma" w:hAnsi="Tahoma" w:cs="Tahoma"/>
          <w:sz w:val="24"/>
          <w:szCs w:val="24"/>
        </w:rPr>
        <w:t>.</w:t>
      </w:r>
      <w:r w:rsidR="00E25870">
        <w:rPr>
          <w:rFonts w:ascii="Tahoma" w:hAnsi="Tahoma" w:cs="Tahoma"/>
          <w:sz w:val="24"/>
          <w:szCs w:val="24"/>
        </w:rPr>
        <w:t xml:space="preserve"> Otro supuesto es el de la persona de avanzada edad que se deja influir por una pareja, generalmente más joven, para dejar de favorecer a sus parientes más próximos, en beneficio de ella o de personas ajenas a la familia del testador</w:t>
      </w:r>
      <w:r w:rsidR="00C034FA">
        <w:rPr>
          <w:rFonts w:ascii="Tahoma" w:hAnsi="Tahoma" w:cs="Tahoma"/>
          <w:sz w:val="24"/>
          <w:szCs w:val="24"/>
        </w:rPr>
        <w:t xml:space="preserve"> pero</w:t>
      </w:r>
      <w:r w:rsidR="00E25870">
        <w:rPr>
          <w:rFonts w:ascii="Tahoma" w:hAnsi="Tahoma" w:cs="Tahoma"/>
          <w:sz w:val="24"/>
          <w:szCs w:val="24"/>
        </w:rPr>
        <w:t xml:space="preserve"> </w:t>
      </w:r>
      <w:r w:rsidR="00C034FA">
        <w:rPr>
          <w:rFonts w:ascii="Tahoma" w:hAnsi="Tahoma" w:cs="Tahoma"/>
          <w:sz w:val="24"/>
          <w:szCs w:val="24"/>
        </w:rPr>
        <w:t>que son</w:t>
      </w:r>
      <w:r w:rsidR="00E25870">
        <w:rPr>
          <w:rFonts w:ascii="Tahoma" w:hAnsi="Tahoma" w:cs="Tahoma"/>
          <w:sz w:val="24"/>
          <w:szCs w:val="24"/>
        </w:rPr>
        <w:t xml:space="preserve"> hijos o parientes próximo</w:t>
      </w:r>
      <w:r w:rsidR="00C034FA">
        <w:rPr>
          <w:rFonts w:ascii="Tahoma" w:hAnsi="Tahoma" w:cs="Tahoma"/>
          <w:sz w:val="24"/>
          <w:szCs w:val="24"/>
        </w:rPr>
        <w:t>s</w:t>
      </w:r>
      <w:r w:rsidR="00E25870">
        <w:rPr>
          <w:rFonts w:ascii="Tahoma" w:hAnsi="Tahoma" w:cs="Tahoma"/>
          <w:sz w:val="24"/>
          <w:szCs w:val="24"/>
        </w:rPr>
        <w:t xml:space="preserve"> de la pareja con la que comparte nuevos afectos. Frente a </w:t>
      </w:r>
      <w:r w:rsidR="00D40592">
        <w:rPr>
          <w:rFonts w:ascii="Tahoma" w:hAnsi="Tahoma" w:cs="Tahoma"/>
          <w:sz w:val="24"/>
          <w:szCs w:val="24"/>
        </w:rPr>
        <w:t>este argumento</w:t>
      </w:r>
      <w:r w:rsidR="00E25870">
        <w:rPr>
          <w:rFonts w:ascii="Tahoma" w:hAnsi="Tahoma" w:cs="Tahoma"/>
          <w:sz w:val="24"/>
          <w:szCs w:val="24"/>
        </w:rPr>
        <w:t xml:space="preserve"> </w:t>
      </w:r>
      <w:r w:rsidR="002A69ED">
        <w:rPr>
          <w:rFonts w:ascii="Tahoma" w:hAnsi="Tahoma" w:cs="Tahoma"/>
          <w:sz w:val="24"/>
          <w:szCs w:val="24"/>
        </w:rPr>
        <w:t>s</w:t>
      </w:r>
      <w:r w:rsidR="00E25870">
        <w:rPr>
          <w:rFonts w:ascii="Tahoma" w:hAnsi="Tahoma" w:cs="Tahoma"/>
          <w:sz w:val="24"/>
          <w:szCs w:val="24"/>
        </w:rPr>
        <w:t>e alega</w:t>
      </w:r>
      <w:r w:rsidR="002A69ED">
        <w:rPr>
          <w:rStyle w:val="Refdenotaalpie"/>
          <w:rFonts w:ascii="Tahoma" w:hAnsi="Tahoma" w:cs="Tahoma"/>
          <w:sz w:val="24"/>
          <w:szCs w:val="24"/>
        </w:rPr>
        <w:footnoteReference w:id="52"/>
      </w:r>
      <w:r w:rsidR="00E25870">
        <w:rPr>
          <w:rFonts w:ascii="Tahoma" w:hAnsi="Tahoma" w:cs="Tahoma"/>
          <w:sz w:val="24"/>
          <w:szCs w:val="24"/>
        </w:rPr>
        <w:t xml:space="preserve"> que el peligro de influencias afectivas existe en todos los actos de la vida, cualquiera que sea la edad y la situación en que l</w:t>
      </w:r>
      <w:r w:rsidR="00D40592">
        <w:rPr>
          <w:rFonts w:ascii="Tahoma" w:hAnsi="Tahoma" w:cs="Tahoma"/>
          <w:sz w:val="24"/>
          <w:szCs w:val="24"/>
        </w:rPr>
        <w:t>a</w:t>
      </w:r>
      <w:r w:rsidR="00E25870">
        <w:rPr>
          <w:rFonts w:ascii="Tahoma" w:hAnsi="Tahoma" w:cs="Tahoma"/>
          <w:sz w:val="24"/>
          <w:szCs w:val="24"/>
        </w:rPr>
        <w:t xml:space="preserve"> persona se encuentre</w:t>
      </w:r>
      <w:r w:rsidR="002A69ED">
        <w:rPr>
          <w:rFonts w:ascii="Tahoma" w:hAnsi="Tahoma" w:cs="Tahoma"/>
          <w:sz w:val="24"/>
          <w:szCs w:val="24"/>
        </w:rPr>
        <w:t xml:space="preserve">; que no cabe limitar la libertad de testar con el argumento del eventual peligro de una posible captación de voluntad, siendo el sistema de legítimas un sistema ineficaz para resolver el problema de la influencia indebida. </w:t>
      </w:r>
    </w:p>
    <w:p w14:paraId="5C9DAF23" w14:textId="77777777" w:rsidR="00D40592" w:rsidRDefault="002A69ED" w:rsidP="00A01A0A">
      <w:pPr>
        <w:spacing w:line="360" w:lineRule="auto"/>
        <w:ind w:firstLine="708"/>
        <w:jc w:val="both"/>
        <w:rPr>
          <w:rFonts w:ascii="Tahoma" w:hAnsi="Tahoma" w:cs="Tahoma"/>
          <w:sz w:val="24"/>
          <w:szCs w:val="24"/>
        </w:rPr>
      </w:pPr>
      <w:r>
        <w:rPr>
          <w:rFonts w:ascii="Tahoma" w:hAnsi="Tahoma" w:cs="Tahoma"/>
          <w:sz w:val="24"/>
          <w:szCs w:val="24"/>
        </w:rPr>
        <w:t xml:space="preserve">El legislador se ha preocupado de establecer prohibiciones dirigidas a evitar la posible captación de voluntad, al margen de las legítimas, declarando la nulidad de las disposiciones hechas durante la última enfermedad del testador en favor del sacerdote que en ella le hubiese confesado, de sus parientes dentro del cuatro grado, o de su iglesia, comunidad o instituto (artículo 752 CC); declarando la nulidad de la disposición hecha por las personas que se encuentran internadas por razones de salud o asistencia a favor de sus cuidadores que sean titulares, administradores o empleados del establecimiento público o privado en el que aquellas estuviera internadas, y las realizadas a favor de los citados </w:t>
      </w:r>
      <w:r>
        <w:rPr>
          <w:rFonts w:ascii="Tahoma" w:hAnsi="Tahoma" w:cs="Tahoma"/>
          <w:sz w:val="24"/>
          <w:szCs w:val="24"/>
        </w:rPr>
        <w:lastRenderedPageBreak/>
        <w:t xml:space="preserve">establecimientos (artículo 753, párrafo segundo, CC, añadido por la Ley 8/2021); o declarando la nulidad de la disposición testamentaria a favor del tutor o curador representativo del testador, salvo </w:t>
      </w:r>
      <w:r w:rsidR="00C034FA">
        <w:rPr>
          <w:rFonts w:ascii="Tahoma" w:hAnsi="Tahoma" w:cs="Tahoma"/>
          <w:sz w:val="24"/>
          <w:szCs w:val="24"/>
        </w:rPr>
        <w:t>cuando</w:t>
      </w:r>
      <w:r>
        <w:rPr>
          <w:rFonts w:ascii="Tahoma" w:hAnsi="Tahoma" w:cs="Tahoma"/>
          <w:sz w:val="24"/>
          <w:szCs w:val="24"/>
        </w:rPr>
        <w:t xml:space="preserve"> se hubiese hecho después de la extinción de la tutela o curatela (artículo 753, párrafo primero, CC).</w:t>
      </w:r>
    </w:p>
    <w:p w14:paraId="69F203E8" w14:textId="442BBA7A" w:rsidR="00D27EF7" w:rsidRDefault="00A6643D" w:rsidP="00A01A0A">
      <w:pPr>
        <w:spacing w:line="360" w:lineRule="auto"/>
        <w:ind w:firstLine="708"/>
        <w:jc w:val="both"/>
        <w:rPr>
          <w:rFonts w:ascii="Tahoma" w:hAnsi="Tahoma" w:cs="Tahoma"/>
          <w:sz w:val="24"/>
          <w:szCs w:val="24"/>
        </w:rPr>
      </w:pPr>
      <w:r>
        <w:rPr>
          <w:rFonts w:ascii="Tahoma" w:hAnsi="Tahoma" w:cs="Tahoma"/>
          <w:sz w:val="24"/>
          <w:szCs w:val="24"/>
        </w:rPr>
        <w:t xml:space="preserve"> En otras ocasiones, la Ley impone el otorgamiento de testamento ante notario, para evitar la nulidad de las disposiciones hechas a favor de las personas físicas que presten servicios de cuidado, asistenciales o de naturaleza análoga al causante (artículo 753, párrafo 3º CC, reformado por la Ley 8/2021). </w:t>
      </w:r>
    </w:p>
    <w:p w14:paraId="3CCDA975" w14:textId="6C85B840" w:rsidR="00D01EB5" w:rsidRDefault="00A6643D" w:rsidP="00A01A0A">
      <w:pPr>
        <w:spacing w:line="360" w:lineRule="auto"/>
        <w:ind w:firstLine="708"/>
        <w:jc w:val="both"/>
        <w:rPr>
          <w:rFonts w:ascii="Tahoma" w:hAnsi="Tahoma" w:cs="Tahoma"/>
          <w:sz w:val="24"/>
          <w:szCs w:val="24"/>
        </w:rPr>
      </w:pPr>
      <w:r>
        <w:rPr>
          <w:rFonts w:ascii="Tahoma" w:hAnsi="Tahoma" w:cs="Tahoma"/>
          <w:sz w:val="24"/>
          <w:szCs w:val="24"/>
        </w:rPr>
        <w:t xml:space="preserve">En este sentido, en Navarra, en donde existe una legítima meramente formal a favor de los hijos y descendientes, </w:t>
      </w:r>
      <w:r w:rsidR="00996542">
        <w:rPr>
          <w:rFonts w:ascii="Tahoma" w:hAnsi="Tahoma" w:cs="Tahoma"/>
          <w:sz w:val="24"/>
          <w:szCs w:val="24"/>
        </w:rPr>
        <w:t xml:space="preserve"> que favorece la plena libertad de disposición, </w:t>
      </w:r>
      <w:r>
        <w:rPr>
          <w:rFonts w:ascii="Tahoma" w:hAnsi="Tahoma" w:cs="Tahoma"/>
          <w:sz w:val="24"/>
          <w:szCs w:val="24"/>
        </w:rPr>
        <w:t xml:space="preserve">la </w:t>
      </w:r>
      <w:r w:rsidR="000F1904">
        <w:rPr>
          <w:rFonts w:ascii="Tahoma" w:hAnsi="Tahoma" w:cs="Tahoma"/>
          <w:sz w:val="24"/>
          <w:szCs w:val="24"/>
        </w:rPr>
        <w:t>Compilación de Derecho civil Foral, modificada por la Ley Foral 31/2022, de 28 de noviembre</w:t>
      </w:r>
      <w:r w:rsidR="000F1904">
        <w:rPr>
          <w:rStyle w:val="Refdenotaalpie"/>
          <w:rFonts w:ascii="Tahoma" w:hAnsi="Tahoma" w:cs="Tahoma"/>
          <w:sz w:val="24"/>
          <w:szCs w:val="24"/>
        </w:rPr>
        <w:footnoteReference w:id="53"/>
      </w:r>
      <w:r w:rsidR="000F1904">
        <w:rPr>
          <w:rFonts w:ascii="Tahoma" w:hAnsi="Tahoma" w:cs="Tahoma"/>
          <w:sz w:val="24"/>
          <w:szCs w:val="24"/>
        </w:rPr>
        <w:t>, establece</w:t>
      </w:r>
      <w:r w:rsidR="00A01A0A">
        <w:rPr>
          <w:rFonts w:ascii="Tahoma" w:hAnsi="Tahoma" w:cs="Tahoma"/>
          <w:sz w:val="24"/>
          <w:szCs w:val="24"/>
        </w:rPr>
        <w:t>, con carácter general, en su Ley 21</w:t>
      </w:r>
      <w:r w:rsidR="000F1904">
        <w:rPr>
          <w:rStyle w:val="Refdenotaalpie"/>
          <w:rFonts w:ascii="Tahoma" w:hAnsi="Tahoma" w:cs="Tahoma"/>
          <w:sz w:val="24"/>
          <w:szCs w:val="24"/>
        </w:rPr>
        <w:footnoteReference w:id="54"/>
      </w:r>
      <w:r w:rsidR="00A01A0A">
        <w:rPr>
          <w:rFonts w:ascii="Tahoma" w:hAnsi="Tahoma" w:cs="Tahoma"/>
          <w:sz w:val="24"/>
          <w:szCs w:val="24"/>
        </w:rPr>
        <w:t>, que son</w:t>
      </w:r>
      <w:r w:rsidR="00A01A0A" w:rsidRPr="00A01A0A">
        <w:rPr>
          <w:rFonts w:ascii="Tahoma" w:hAnsi="Tahoma" w:cs="Tahoma"/>
          <w:sz w:val="24"/>
          <w:szCs w:val="24"/>
        </w:rPr>
        <w:t xml:space="preserve"> anulables las declaraciones de voluntad realizadas en beneficio de quien, teniendo bajo su dependencia al otorgante, aprovecha esa situación para conseguir, para él u otros, una ventaja que de otro modo no hubiera obtenido</w:t>
      </w:r>
      <w:r w:rsidR="00A01A0A">
        <w:rPr>
          <w:rFonts w:ascii="Tahoma" w:hAnsi="Tahoma" w:cs="Tahoma"/>
          <w:sz w:val="24"/>
          <w:szCs w:val="24"/>
        </w:rPr>
        <w:t>; y que también son anulables</w:t>
      </w:r>
      <w:r w:rsidR="00A01A0A" w:rsidRPr="00A01A0A">
        <w:rPr>
          <w:rFonts w:ascii="Tahoma" w:hAnsi="Tahoma" w:cs="Tahoma"/>
          <w:sz w:val="24"/>
          <w:szCs w:val="24"/>
        </w:rPr>
        <w:t xml:space="preserve"> las realizadas por la influencia abusiva de otro que aprovecha la confianza en él depositada, la debilidad mental o la angustia del declarante, con obtención de un beneficio.</w:t>
      </w:r>
    </w:p>
    <w:p w14:paraId="22A53289" w14:textId="77777777" w:rsidR="00FA5DB8" w:rsidRDefault="008C525D" w:rsidP="00A01A0A">
      <w:pPr>
        <w:spacing w:line="360" w:lineRule="auto"/>
        <w:ind w:firstLine="708"/>
        <w:jc w:val="both"/>
        <w:rPr>
          <w:rFonts w:ascii="Tahoma" w:hAnsi="Tahoma" w:cs="Tahoma"/>
          <w:sz w:val="24"/>
          <w:szCs w:val="24"/>
        </w:rPr>
      </w:pPr>
      <w:r>
        <w:rPr>
          <w:rFonts w:ascii="Tahoma" w:hAnsi="Tahoma" w:cs="Tahoma"/>
          <w:sz w:val="24"/>
          <w:szCs w:val="24"/>
        </w:rPr>
        <w:t xml:space="preserve">Después de analizar los argumentos a favor de las legítimas y los argumentos contrapuestos, </w:t>
      </w:r>
      <w:r w:rsidRPr="00D40592">
        <w:rPr>
          <w:rFonts w:ascii="Tahoma" w:hAnsi="Tahoma" w:cs="Tahoma"/>
          <w:b/>
          <w:bCs/>
          <w:i/>
          <w:iCs/>
          <w:sz w:val="24"/>
          <w:szCs w:val="24"/>
        </w:rPr>
        <w:t xml:space="preserve">podemos preguntarnos si en España </w:t>
      </w:r>
      <w:r w:rsidR="00900F60" w:rsidRPr="00D40592">
        <w:rPr>
          <w:rFonts w:ascii="Tahoma" w:hAnsi="Tahoma" w:cs="Tahoma"/>
          <w:b/>
          <w:bCs/>
          <w:i/>
          <w:iCs/>
          <w:sz w:val="24"/>
          <w:szCs w:val="24"/>
        </w:rPr>
        <w:t>nuestra</w:t>
      </w:r>
      <w:r w:rsidRPr="00D40592">
        <w:rPr>
          <w:rFonts w:ascii="Tahoma" w:hAnsi="Tahoma" w:cs="Tahoma"/>
          <w:b/>
          <w:bCs/>
          <w:i/>
          <w:iCs/>
          <w:sz w:val="24"/>
          <w:szCs w:val="24"/>
        </w:rPr>
        <w:t xml:space="preserve"> Constitución protege el sistema legitimario</w:t>
      </w:r>
      <w:r>
        <w:rPr>
          <w:rFonts w:ascii="Tahoma" w:hAnsi="Tahoma" w:cs="Tahoma"/>
          <w:sz w:val="24"/>
          <w:szCs w:val="24"/>
        </w:rPr>
        <w:t xml:space="preserve">, de modo que no </w:t>
      </w:r>
      <w:r w:rsidR="00D27EF7">
        <w:rPr>
          <w:rFonts w:ascii="Tahoma" w:hAnsi="Tahoma" w:cs="Tahoma"/>
          <w:sz w:val="24"/>
          <w:szCs w:val="24"/>
        </w:rPr>
        <w:t>quepa</w:t>
      </w:r>
      <w:r w:rsidR="006E7204">
        <w:rPr>
          <w:rFonts w:ascii="Tahoma" w:hAnsi="Tahoma" w:cs="Tahoma"/>
          <w:sz w:val="24"/>
          <w:szCs w:val="24"/>
        </w:rPr>
        <w:t xml:space="preserve">, de </w:t>
      </w:r>
      <w:r w:rsidR="00900F60">
        <w:rPr>
          <w:rFonts w:ascii="Tahoma" w:hAnsi="Tahoma" w:cs="Tahoma"/>
          <w:sz w:val="24"/>
          <w:szCs w:val="24"/>
        </w:rPr>
        <w:t>forma</w:t>
      </w:r>
      <w:r w:rsidR="006E7204">
        <w:rPr>
          <w:rFonts w:ascii="Tahoma" w:hAnsi="Tahoma" w:cs="Tahoma"/>
          <w:sz w:val="24"/>
          <w:szCs w:val="24"/>
        </w:rPr>
        <w:t xml:space="preserve"> similar a</w:t>
      </w:r>
      <w:r w:rsidR="00900F60">
        <w:rPr>
          <w:rFonts w:ascii="Tahoma" w:hAnsi="Tahoma" w:cs="Tahoma"/>
          <w:sz w:val="24"/>
          <w:szCs w:val="24"/>
        </w:rPr>
        <w:t xml:space="preserve"> lo señalado por</w:t>
      </w:r>
      <w:r w:rsidR="006E7204">
        <w:rPr>
          <w:rFonts w:ascii="Tahoma" w:hAnsi="Tahoma" w:cs="Tahoma"/>
          <w:sz w:val="24"/>
          <w:szCs w:val="24"/>
        </w:rPr>
        <w:t xml:space="preserve"> el Tribunal Constitucional alemán, la supresión de las legítimas de hijos y descendiente</w:t>
      </w:r>
      <w:r w:rsidR="00900F60">
        <w:rPr>
          <w:rFonts w:ascii="Tahoma" w:hAnsi="Tahoma" w:cs="Tahoma"/>
          <w:sz w:val="24"/>
          <w:szCs w:val="24"/>
        </w:rPr>
        <w:t>s</w:t>
      </w:r>
      <w:r w:rsidR="006E7204">
        <w:rPr>
          <w:rFonts w:ascii="Tahoma" w:hAnsi="Tahoma" w:cs="Tahoma"/>
          <w:sz w:val="24"/>
          <w:szCs w:val="24"/>
        </w:rPr>
        <w:t>.</w:t>
      </w:r>
      <w:r w:rsidR="005A02AF">
        <w:rPr>
          <w:rFonts w:ascii="Tahoma" w:hAnsi="Tahoma" w:cs="Tahoma"/>
          <w:sz w:val="24"/>
          <w:szCs w:val="24"/>
        </w:rPr>
        <w:t xml:space="preserve"> </w:t>
      </w:r>
    </w:p>
    <w:p w14:paraId="09616149" w14:textId="379D251A" w:rsidR="00A01A0A" w:rsidRDefault="005A02AF" w:rsidP="00A01A0A">
      <w:pPr>
        <w:spacing w:line="360" w:lineRule="auto"/>
        <w:ind w:firstLine="708"/>
        <w:jc w:val="both"/>
        <w:rPr>
          <w:rFonts w:ascii="Tahoma" w:hAnsi="Tahoma" w:cs="Tahoma"/>
          <w:sz w:val="24"/>
          <w:szCs w:val="24"/>
        </w:rPr>
      </w:pPr>
      <w:r>
        <w:rPr>
          <w:rFonts w:ascii="Tahoma" w:hAnsi="Tahoma" w:cs="Tahoma"/>
          <w:sz w:val="24"/>
          <w:szCs w:val="24"/>
        </w:rPr>
        <w:t>El artículo 33.1 CE dispone que “se reconoce el derecho de propiedad y a la herencia”</w:t>
      </w:r>
      <w:r>
        <w:rPr>
          <w:rStyle w:val="Refdenotaalpie"/>
          <w:rFonts w:ascii="Tahoma" w:hAnsi="Tahoma" w:cs="Tahoma"/>
          <w:sz w:val="24"/>
          <w:szCs w:val="24"/>
        </w:rPr>
        <w:footnoteReference w:id="55"/>
      </w:r>
      <w:r w:rsidR="00E95D94">
        <w:rPr>
          <w:rFonts w:ascii="Tahoma" w:hAnsi="Tahoma" w:cs="Tahoma"/>
          <w:sz w:val="24"/>
          <w:szCs w:val="24"/>
        </w:rPr>
        <w:t xml:space="preserve">; por su parte, el artículo 39.3 CE señala </w:t>
      </w:r>
      <w:r w:rsidR="00CB384C">
        <w:rPr>
          <w:rFonts w:ascii="Tahoma" w:hAnsi="Tahoma" w:cs="Tahoma"/>
          <w:sz w:val="24"/>
          <w:szCs w:val="24"/>
        </w:rPr>
        <w:t>que” los</w:t>
      </w:r>
      <w:r w:rsidR="00E95D94">
        <w:rPr>
          <w:rFonts w:ascii="Tahoma" w:hAnsi="Tahoma" w:cs="Tahoma"/>
          <w:sz w:val="24"/>
          <w:szCs w:val="24"/>
        </w:rPr>
        <w:t xml:space="preserve"> padres deben </w:t>
      </w:r>
      <w:r w:rsidR="00E95D94">
        <w:rPr>
          <w:rFonts w:ascii="Tahoma" w:hAnsi="Tahoma" w:cs="Tahoma"/>
          <w:sz w:val="24"/>
          <w:szCs w:val="24"/>
        </w:rPr>
        <w:lastRenderedPageBreak/>
        <w:t>prestar asistencia de todo orden a los hijos habidos dentro o fuera del matrimonio durante su minoría de edad y en los demás casos en que legalmente proceda</w:t>
      </w:r>
      <w:r w:rsidR="00CB384C">
        <w:rPr>
          <w:rFonts w:ascii="Tahoma" w:hAnsi="Tahoma" w:cs="Tahoma"/>
          <w:sz w:val="24"/>
          <w:szCs w:val="24"/>
        </w:rPr>
        <w:t>”</w:t>
      </w:r>
      <w:r w:rsidR="00A803F0">
        <w:rPr>
          <w:rStyle w:val="Refdenotaalpie"/>
          <w:rFonts w:ascii="Tahoma" w:hAnsi="Tahoma" w:cs="Tahoma"/>
          <w:sz w:val="24"/>
          <w:szCs w:val="24"/>
        </w:rPr>
        <w:footnoteReference w:id="56"/>
      </w:r>
      <w:r w:rsidR="00CB384C">
        <w:rPr>
          <w:rFonts w:ascii="Tahoma" w:hAnsi="Tahoma" w:cs="Tahoma"/>
          <w:sz w:val="24"/>
          <w:szCs w:val="24"/>
        </w:rPr>
        <w:t>.</w:t>
      </w:r>
    </w:p>
    <w:p w14:paraId="79E705C7" w14:textId="660CFA2A" w:rsidR="00CB384C" w:rsidRDefault="00CB384C" w:rsidP="00A01A0A">
      <w:pPr>
        <w:spacing w:line="360" w:lineRule="auto"/>
        <w:ind w:firstLine="708"/>
        <w:jc w:val="both"/>
        <w:rPr>
          <w:rFonts w:ascii="Tahoma" w:hAnsi="Tahoma" w:cs="Tahoma"/>
          <w:sz w:val="24"/>
          <w:szCs w:val="24"/>
        </w:rPr>
      </w:pPr>
      <w:r>
        <w:rPr>
          <w:rFonts w:ascii="Tahoma" w:hAnsi="Tahoma" w:cs="Tahoma"/>
          <w:sz w:val="24"/>
          <w:szCs w:val="24"/>
        </w:rPr>
        <w:t>La mayoría de la doctrina</w:t>
      </w:r>
      <w:r>
        <w:rPr>
          <w:rStyle w:val="Refdenotaalpie"/>
          <w:rFonts w:ascii="Tahoma" w:hAnsi="Tahoma" w:cs="Tahoma"/>
          <w:sz w:val="24"/>
          <w:szCs w:val="24"/>
        </w:rPr>
        <w:footnoteReference w:id="57"/>
      </w:r>
      <w:r>
        <w:rPr>
          <w:rFonts w:ascii="Tahoma" w:hAnsi="Tahoma" w:cs="Tahoma"/>
          <w:sz w:val="24"/>
          <w:szCs w:val="24"/>
        </w:rPr>
        <w:t xml:space="preserve"> entiende que el artículo 33 CE contempla el derecho a la herencia como una derivación del derecho de propiedad, pero no atribuye un derecho a determinadas personas a recibir bienes del causante, ni consagra la protección de la familia a través de las legítimas.</w:t>
      </w:r>
    </w:p>
    <w:p w14:paraId="04817D88" w14:textId="17158A04" w:rsidR="00CB384C" w:rsidRDefault="00CB384C" w:rsidP="00A01A0A">
      <w:pPr>
        <w:spacing w:line="360" w:lineRule="auto"/>
        <w:ind w:firstLine="708"/>
        <w:jc w:val="both"/>
        <w:rPr>
          <w:rFonts w:ascii="Tahoma" w:hAnsi="Tahoma" w:cs="Tahoma"/>
          <w:sz w:val="24"/>
          <w:szCs w:val="24"/>
        </w:rPr>
      </w:pPr>
      <w:r>
        <w:rPr>
          <w:rFonts w:ascii="Tahoma" w:hAnsi="Tahoma" w:cs="Tahoma"/>
          <w:sz w:val="24"/>
          <w:szCs w:val="24"/>
        </w:rPr>
        <w:t>El Tribunal Supremo, en su sentencia</w:t>
      </w:r>
      <w:r w:rsidR="0041673E">
        <w:rPr>
          <w:rFonts w:ascii="Tahoma" w:hAnsi="Tahoma" w:cs="Tahoma"/>
          <w:sz w:val="24"/>
          <w:szCs w:val="24"/>
        </w:rPr>
        <w:t xml:space="preserve"> 887/1996, de 15 de noviembre, en su fundamento octavo, afirmó que la legítima no pertenece a materia protegida por el orden público interno. </w:t>
      </w:r>
    </w:p>
    <w:p w14:paraId="68237A96" w14:textId="4C1059AF" w:rsidR="0041673E" w:rsidRDefault="0041673E" w:rsidP="00A01A0A">
      <w:pPr>
        <w:spacing w:line="360" w:lineRule="auto"/>
        <w:ind w:firstLine="708"/>
        <w:jc w:val="both"/>
        <w:rPr>
          <w:rFonts w:ascii="Tahoma" w:hAnsi="Tahoma" w:cs="Tahoma"/>
          <w:sz w:val="24"/>
          <w:szCs w:val="24"/>
        </w:rPr>
      </w:pPr>
      <w:r>
        <w:rPr>
          <w:rFonts w:ascii="Tahoma" w:hAnsi="Tahoma" w:cs="Tahoma"/>
          <w:sz w:val="24"/>
          <w:szCs w:val="24"/>
        </w:rPr>
        <w:t xml:space="preserve">Ya hemos visto, además, cómo en algunas legislaciones autonómicas (Fuero de Ayala; Navarra) se recoge la libertad de testar, sin que nadie </w:t>
      </w:r>
      <w:r w:rsidR="00A803F0">
        <w:rPr>
          <w:rFonts w:ascii="Tahoma" w:hAnsi="Tahoma" w:cs="Tahoma"/>
          <w:sz w:val="24"/>
          <w:szCs w:val="24"/>
        </w:rPr>
        <w:t xml:space="preserve">se </w:t>
      </w:r>
      <w:r>
        <w:rPr>
          <w:rFonts w:ascii="Tahoma" w:hAnsi="Tahoma" w:cs="Tahoma"/>
          <w:sz w:val="24"/>
          <w:szCs w:val="24"/>
        </w:rPr>
        <w:t>haya planteado su inconstitucionalidad.</w:t>
      </w:r>
    </w:p>
    <w:p w14:paraId="46F44DEE" w14:textId="6947ABA1" w:rsidR="006F5211" w:rsidRPr="00FA5DB8" w:rsidRDefault="00FA5DB8" w:rsidP="00FA5DB8">
      <w:pPr>
        <w:pStyle w:val="Prrafodelista"/>
        <w:numPr>
          <w:ilvl w:val="0"/>
          <w:numId w:val="3"/>
        </w:numPr>
        <w:spacing w:line="360" w:lineRule="auto"/>
        <w:jc w:val="both"/>
        <w:rPr>
          <w:rFonts w:ascii="Tahoma" w:hAnsi="Tahoma" w:cs="Tahoma"/>
          <w:sz w:val="24"/>
          <w:szCs w:val="24"/>
        </w:rPr>
      </w:pPr>
      <w:r w:rsidRPr="00FA5DB8">
        <w:rPr>
          <w:rFonts w:ascii="Tahoma" w:hAnsi="Tahoma" w:cs="Tahoma"/>
          <w:b/>
          <w:bCs/>
          <w:sz w:val="24"/>
          <w:szCs w:val="24"/>
        </w:rPr>
        <w:t>Modificaciones familiares, sociales y económicas que demandan una reforma urgente de las legítimas</w:t>
      </w:r>
      <w:r w:rsidRPr="00FA5DB8">
        <w:rPr>
          <w:rFonts w:ascii="Tahoma" w:hAnsi="Tahoma" w:cs="Tahoma"/>
          <w:sz w:val="24"/>
          <w:szCs w:val="24"/>
        </w:rPr>
        <w:t>.</w:t>
      </w:r>
    </w:p>
    <w:p w14:paraId="56D28F64" w14:textId="77777777" w:rsidR="00D40592" w:rsidRDefault="00AF1E40" w:rsidP="00DB373E">
      <w:pPr>
        <w:spacing w:line="360" w:lineRule="auto"/>
        <w:ind w:firstLine="708"/>
        <w:jc w:val="both"/>
        <w:rPr>
          <w:rFonts w:ascii="Tahoma" w:hAnsi="Tahoma" w:cs="Tahoma"/>
          <w:sz w:val="24"/>
          <w:szCs w:val="24"/>
        </w:rPr>
      </w:pPr>
      <w:r>
        <w:rPr>
          <w:rFonts w:ascii="Tahoma" w:hAnsi="Tahoma" w:cs="Tahoma"/>
          <w:sz w:val="24"/>
          <w:szCs w:val="24"/>
        </w:rPr>
        <w:t xml:space="preserve">La </w:t>
      </w:r>
      <w:r w:rsidRPr="00FA5DB8">
        <w:rPr>
          <w:rFonts w:ascii="Tahoma" w:hAnsi="Tahoma" w:cs="Tahoma"/>
          <w:i/>
          <w:iCs/>
          <w:sz w:val="24"/>
          <w:szCs w:val="24"/>
        </w:rPr>
        <w:t>situación actual de las familias</w:t>
      </w:r>
      <w:r>
        <w:rPr>
          <w:rFonts w:ascii="Tahoma" w:hAnsi="Tahoma" w:cs="Tahoma"/>
          <w:sz w:val="24"/>
          <w:szCs w:val="24"/>
        </w:rPr>
        <w:t xml:space="preserve">, cuando falta poco para que se cumpla el primer cuarto del siglo XXI, nada tiene que ver con el contexto social y económico de fines del siglo XIX, en el que se asienta el sistema legitimario español del Código Civil de 1889. </w:t>
      </w:r>
    </w:p>
    <w:p w14:paraId="7EEA9187" w14:textId="2854C33C" w:rsidR="00FA5DB8" w:rsidRDefault="00AF1E40" w:rsidP="00DB373E">
      <w:pPr>
        <w:spacing w:line="360" w:lineRule="auto"/>
        <w:ind w:firstLine="708"/>
        <w:jc w:val="both"/>
        <w:rPr>
          <w:rFonts w:ascii="Tahoma" w:hAnsi="Tahoma" w:cs="Tahoma"/>
          <w:sz w:val="24"/>
          <w:szCs w:val="24"/>
        </w:rPr>
      </w:pPr>
      <w:r>
        <w:rPr>
          <w:rFonts w:ascii="Tahoma" w:hAnsi="Tahoma" w:cs="Tahoma"/>
          <w:sz w:val="24"/>
          <w:szCs w:val="24"/>
        </w:rPr>
        <w:t xml:space="preserve">En nuestro país, se halla en tramitación el </w:t>
      </w:r>
      <w:r w:rsidRPr="00FA5DB8">
        <w:rPr>
          <w:rFonts w:ascii="Tahoma" w:hAnsi="Tahoma" w:cs="Tahoma"/>
          <w:i/>
          <w:iCs/>
          <w:sz w:val="24"/>
          <w:szCs w:val="24"/>
        </w:rPr>
        <w:t>Proyecto de Ley de Familias</w:t>
      </w:r>
      <w:r>
        <w:rPr>
          <w:rStyle w:val="Refdenotaalpie"/>
          <w:rFonts w:ascii="Tahoma" w:hAnsi="Tahoma" w:cs="Tahoma"/>
          <w:sz w:val="24"/>
          <w:szCs w:val="24"/>
        </w:rPr>
        <w:footnoteReference w:id="58"/>
      </w:r>
      <w:r>
        <w:rPr>
          <w:rFonts w:ascii="Tahoma" w:hAnsi="Tahoma" w:cs="Tahoma"/>
          <w:sz w:val="24"/>
          <w:szCs w:val="24"/>
        </w:rPr>
        <w:t xml:space="preserve">, en cuya exposición de motivos se expresa la nueva realidad, al señalar: “Hoy es habitual ver familias formadas por parejas de hecho, familias formadas por una sola persona progenitora, familias formadas por personas pertenecientes a los colectivos LGTBI, familias en las que uno o ambos miembros de la pareja tienen hija o hijos de uniones anteriores, familias adoptivas o acogedoras, familias procedentes de otro Estado o territorio, o en que alguno o algunos de sus </w:t>
      </w:r>
      <w:r>
        <w:rPr>
          <w:rFonts w:ascii="Tahoma" w:hAnsi="Tahoma" w:cs="Tahoma"/>
          <w:sz w:val="24"/>
          <w:szCs w:val="24"/>
        </w:rPr>
        <w:lastRenderedPageBreak/>
        <w:t xml:space="preserve">integrantes residen fuera del territorio nacional, o familias entre personas que proceden de entornos culturales o étnicos diferentes”. </w:t>
      </w:r>
    </w:p>
    <w:p w14:paraId="640A2E53" w14:textId="77777777" w:rsidR="00FA5DB8" w:rsidRDefault="00AF1E40" w:rsidP="00DB373E">
      <w:pPr>
        <w:spacing w:line="360" w:lineRule="auto"/>
        <w:ind w:firstLine="708"/>
        <w:jc w:val="both"/>
        <w:rPr>
          <w:rFonts w:ascii="Tahoma" w:hAnsi="Tahoma" w:cs="Tahoma"/>
          <w:sz w:val="24"/>
          <w:szCs w:val="24"/>
        </w:rPr>
      </w:pPr>
      <w:r>
        <w:rPr>
          <w:rFonts w:ascii="Tahoma" w:hAnsi="Tahoma" w:cs="Tahoma"/>
          <w:sz w:val="24"/>
          <w:szCs w:val="24"/>
        </w:rPr>
        <w:t>Desde el punto de vista de la familia tradicional, como ya se ha apuntado, se ha producido una notable reducción de la familia, que ha quedado</w:t>
      </w:r>
      <w:r w:rsidR="00900C02">
        <w:rPr>
          <w:rFonts w:ascii="Tahoma" w:hAnsi="Tahoma" w:cs="Tahoma"/>
          <w:sz w:val="24"/>
          <w:szCs w:val="24"/>
        </w:rPr>
        <w:t xml:space="preserve"> prácticamente reducida a la familia nuclear. La economía familiar ha dejado de basarse, de forma preferente, en la tierra y ganado (sector primario), superando la economía industrial, haciendo tránsito a una economía tecnológica y robotizada, en que la Inteligencia Artificial empieza a proclamar el nacimiento de su nuevo imperio.</w:t>
      </w:r>
      <w:r>
        <w:rPr>
          <w:rFonts w:ascii="Tahoma" w:hAnsi="Tahoma" w:cs="Tahoma"/>
          <w:sz w:val="24"/>
          <w:szCs w:val="24"/>
        </w:rPr>
        <w:t xml:space="preserve"> </w:t>
      </w:r>
      <w:r w:rsidR="00900C02">
        <w:rPr>
          <w:rFonts w:ascii="Tahoma" w:hAnsi="Tahoma" w:cs="Tahoma"/>
          <w:sz w:val="24"/>
          <w:szCs w:val="24"/>
        </w:rPr>
        <w:t xml:space="preserve">Los padres proporcionan a sus hijos educación (obligatoria hoy en nuestro país hasta los dieciséis años), costean su manutención, alojamiento y formación, incluso hasta edades cercanas o superiores a los treinta años, sin que, por el contrario, por regla general, los hijos colaboren al incremento del patrimonio familiar. </w:t>
      </w:r>
    </w:p>
    <w:p w14:paraId="41C279EF" w14:textId="6879A5E6" w:rsidR="002353BD" w:rsidRDefault="00900C02" w:rsidP="00DB373E">
      <w:pPr>
        <w:spacing w:line="360" w:lineRule="auto"/>
        <w:ind w:firstLine="708"/>
        <w:jc w:val="both"/>
        <w:rPr>
          <w:rFonts w:ascii="Tahoma" w:hAnsi="Tahoma" w:cs="Tahoma"/>
          <w:sz w:val="24"/>
          <w:szCs w:val="24"/>
        </w:rPr>
      </w:pPr>
      <w:r>
        <w:rPr>
          <w:rFonts w:ascii="Tahoma" w:hAnsi="Tahoma" w:cs="Tahoma"/>
          <w:sz w:val="24"/>
          <w:szCs w:val="24"/>
        </w:rPr>
        <w:t>La crisis económica mundial, primero fruto del estallido de la burbuja inmobiliaria a partir del año 2008, y después, más recientemente, de la pandemia del COVID y de los conflictos bélicos cercanos (particularmente</w:t>
      </w:r>
      <w:r w:rsidR="00D40592">
        <w:rPr>
          <w:rFonts w:ascii="Tahoma" w:hAnsi="Tahoma" w:cs="Tahoma"/>
          <w:sz w:val="24"/>
          <w:szCs w:val="24"/>
        </w:rPr>
        <w:t xml:space="preserve">, </w:t>
      </w:r>
      <w:r>
        <w:rPr>
          <w:rFonts w:ascii="Tahoma" w:hAnsi="Tahoma" w:cs="Tahoma"/>
          <w:sz w:val="24"/>
          <w:szCs w:val="24"/>
        </w:rPr>
        <w:t>el de Ucrania), ha provocado una búsqueda de trabajo fuera de nuestras fronteras, lo que ha generado una cierta desvinculación familiar</w:t>
      </w:r>
      <w:r w:rsidR="008D7889">
        <w:rPr>
          <w:rFonts w:ascii="Tahoma" w:hAnsi="Tahoma" w:cs="Tahoma"/>
          <w:sz w:val="24"/>
          <w:szCs w:val="24"/>
        </w:rPr>
        <w:t xml:space="preserve">. </w:t>
      </w:r>
    </w:p>
    <w:p w14:paraId="11ABCD9B" w14:textId="2AE268A5" w:rsidR="0071644B" w:rsidRDefault="008D7889" w:rsidP="00DB373E">
      <w:pPr>
        <w:spacing w:line="360" w:lineRule="auto"/>
        <w:ind w:firstLine="708"/>
        <w:jc w:val="both"/>
        <w:rPr>
          <w:rFonts w:ascii="Tahoma" w:hAnsi="Tahoma" w:cs="Tahoma"/>
          <w:sz w:val="24"/>
          <w:szCs w:val="24"/>
        </w:rPr>
      </w:pPr>
      <w:r w:rsidRPr="00DC67C8">
        <w:rPr>
          <w:rFonts w:ascii="Tahoma" w:hAnsi="Tahoma" w:cs="Tahoma"/>
          <w:i/>
          <w:iCs/>
          <w:sz w:val="24"/>
          <w:szCs w:val="24"/>
        </w:rPr>
        <w:t>La esperanza de vida</w:t>
      </w:r>
      <w:r w:rsidR="00170178" w:rsidRPr="00DC67C8">
        <w:rPr>
          <w:rFonts w:ascii="Tahoma" w:hAnsi="Tahoma" w:cs="Tahoma"/>
          <w:i/>
          <w:iCs/>
          <w:sz w:val="24"/>
          <w:szCs w:val="24"/>
        </w:rPr>
        <w:t xml:space="preserve"> al nacer</w:t>
      </w:r>
      <w:r w:rsidR="00170178">
        <w:rPr>
          <w:rFonts w:ascii="Tahoma" w:hAnsi="Tahoma" w:cs="Tahoma"/>
          <w:sz w:val="24"/>
          <w:szCs w:val="24"/>
        </w:rPr>
        <w:t xml:space="preserve"> en España, según el Instituto Nacional de Estadística, ha pasado de 34,76 años en 1900, a 84 años en 2023 (86,7 años las mujeres, y 81,2 los hombres). Por tanto, en la mayoría de los casos, cuando los hijos heredan a sus padres tien</w:t>
      </w:r>
      <w:r w:rsidR="001A0C42">
        <w:rPr>
          <w:rFonts w:ascii="Tahoma" w:hAnsi="Tahoma" w:cs="Tahoma"/>
          <w:sz w:val="24"/>
          <w:szCs w:val="24"/>
        </w:rPr>
        <w:t>en cincuenta o más años, la vida resuelta y, en algunos casos, mucho más patrimonio que sus progenitores</w:t>
      </w:r>
      <w:r w:rsidR="0068758D">
        <w:rPr>
          <w:rFonts w:ascii="Tahoma" w:hAnsi="Tahoma" w:cs="Tahoma"/>
          <w:sz w:val="24"/>
          <w:szCs w:val="24"/>
        </w:rPr>
        <w:t xml:space="preserve">, quienes se ven abocados a ingresar en una residencia cuando el deterioro físico y cognitivo les impide mantener una autonomía suficiente para permanecer, en soledad como regla general, en sus hogares. </w:t>
      </w:r>
      <w:r w:rsidR="0068758D" w:rsidRPr="00DC67C8">
        <w:rPr>
          <w:rFonts w:ascii="Tahoma" w:hAnsi="Tahoma" w:cs="Tahoma"/>
          <w:i/>
          <w:iCs/>
          <w:sz w:val="24"/>
          <w:szCs w:val="24"/>
        </w:rPr>
        <w:t xml:space="preserve">La incorporación de la mujer al trabajo fuera de casa, </w:t>
      </w:r>
      <w:r w:rsidR="0068758D">
        <w:rPr>
          <w:rFonts w:ascii="Tahoma" w:hAnsi="Tahoma" w:cs="Tahoma"/>
          <w:sz w:val="24"/>
          <w:szCs w:val="24"/>
        </w:rPr>
        <w:t xml:space="preserve">como laudable desarrollo de su personalidad, en algunos casos, y por necesidad económica (un solo salario no alcanza </w:t>
      </w:r>
      <w:r w:rsidR="00DC67C8">
        <w:rPr>
          <w:rFonts w:ascii="Tahoma" w:hAnsi="Tahoma" w:cs="Tahoma"/>
          <w:sz w:val="24"/>
          <w:szCs w:val="24"/>
        </w:rPr>
        <w:t>hoy para cubrir todas</w:t>
      </w:r>
      <w:r w:rsidR="0068758D">
        <w:rPr>
          <w:rFonts w:ascii="Tahoma" w:hAnsi="Tahoma" w:cs="Tahoma"/>
          <w:sz w:val="24"/>
          <w:szCs w:val="24"/>
        </w:rPr>
        <w:t xml:space="preserve"> las necesidades del hogar), en otros muchos, ha propiciado una extensión de la ayuda familiar de los padres a los hijos, supuestamente ya emancipados económicamente, colaborando con el cuidado de los nietos, pero sin perspectiva </w:t>
      </w:r>
      <w:r w:rsidR="0068758D">
        <w:rPr>
          <w:rFonts w:ascii="Tahoma" w:hAnsi="Tahoma" w:cs="Tahoma"/>
          <w:sz w:val="24"/>
          <w:szCs w:val="24"/>
        </w:rPr>
        <w:lastRenderedPageBreak/>
        <w:t>de recibir, en justo intercambio, un trato equitativo llegada la edad senil en que el deterioro es</w:t>
      </w:r>
      <w:r w:rsidR="00D55389">
        <w:rPr>
          <w:rFonts w:ascii="Tahoma" w:hAnsi="Tahoma" w:cs="Tahoma"/>
          <w:sz w:val="24"/>
          <w:szCs w:val="24"/>
        </w:rPr>
        <w:t xml:space="preserve"> seriamente limitante o</w:t>
      </w:r>
      <w:r w:rsidR="0068758D">
        <w:rPr>
          <w:rFonts w:ascii="Tahoma" w:hAnsi="Tahoma" w:cs="Tahoma"/>
          <w:sz w:val="24"/>
          <w:szCs w:val="24"/>
        </w:rPr>
        <w:t xml:space="preserve"> impeditivo para llevar una vida autónoma.</w:t>
      </w:r>
    </w:p>
    <w:p w14:paraId="2FBA3E14" w14:textId="457F96D6" w:rsidR="002353BD" w:rsidRPr="002353BD" w:rsidRDefault="002353BD" w:rsidP="002353BD">
      <w:pPr>
        <w:pStyle w:val="Prrafodelista"/>
        <w:numPr>
          <w:ilvl w:val="0"/>
          <w:numId w:val="3"/>
        </w:numPr>
        <w:spacing w:line="360" w:lineRule="auto"/>
        <w:jc w:val="both"/>
        <w:rPr>
          <w:rFonts w:ascii="Tahoma" w:hAnsi="Tahoma" w:cs="Tahoma"/>
          <w:b/>
          <w:bCs/>
          <w:sz w:val="24"/>
          <w:szCs w:val="24"/>
        </w:rPr>
      </w:pPr>
      <w:r w:rsidRPr="002353BD">
        <w:rPr>
          <w:rFonts w:ascii="Tahoma" w:hAnsi="Tahoma" w:cs="Tahoma"/>
          <w:b/>
          <w:bCs/>
          <w:sz w:val="24"/>
          <w:szCs w:val="24"/>
        </w:rPr>
        <w:t>Interpretación judicial de las causas de desheredación ante la nueva realidad social.</w:t>
      </w:r>
    </w:p>
    <w:p w14:paraId="7FF128A2" w14:textId="098E8275" w:rsidR="00DC0A15" w:rsidRDefault="00D55389" w:rsidP="00DB373E">
      <w:pPr>
        <w:spacing w:line="360" w:lineRule="auto"/>
        <w:ind w:firstLine="708"/>
        <w:jc w:val="both"/>
        <w:rPr>
          <w:rFonts w:ascii="Tahoma" w:hAnsi="Tahoma" w:cs="Tahoma"/>
          <w:sz w:val="24"/>
          <w:szCs w:val="24"/>
        </w:rPr>
      </w:pPr>
      <w:r w:rsidRPr="00DC67C8">
        <w:rPr>
          <w:rFonts w:ascii="Tahoma" w:hAnsi="Tahoma" w:cs="Tahoma"/>
          <w:i/>
          <w:iCs/>
          <w:sz w:val="24"/>
          <w:szCs w:val="24"/>
        </w:rPr>
        <w:t>A estos cambios no han sido ajenos los tribunales</w:t>
      </w:r>
      <w:r>
        <w:rPr>
          <w:rFonts w:ascii="Tahoma" w:hAnsi="Tahoma" w:cs="Tahoma"/>
          <w:sz w:val="24"/>
          <w:szCs w:val="24"/>
        </w:rPr>
        <w:t xml:space="preserve"> encargados de aplicar la Ley. Así, en materia de desheredación de los hijos por maltrato “de obra”, según el artículo 853.1º del CCE, que venía recibiendo una interpretación estricta o restrictiva, el Tribunal Supremo ha abierto una nueva vía, en varias Sentencias (sentencias 2484/2014, de 3 de junio</w:t>
      </w:r>
      <w:r w:rsidR="00C21921">
        <w:rPr>
          <w:rStyle w:val="Refdenotaalpie"/>
          <w:rFonts w:ascii="Tahoma" w:hAnsi="Tahoma" w:cs="Tahoma"/>
          <w:sz w:val="24"/>
          <w:szCs w:val="24"/>
        </w:rPr>
        <w:footnoteReference w:id="59"/>
      </w:r>
      <w:r>
        <w:rPr>
          <w:rFonts w:ascii="Tahoma" w:hAnsi="Tahoma" w:cs="Tahoma"/>
          <w:sz w:val="24"/>
          <w:szCs w:val="24"/>
        </w:rPr>
        <w:t>; 4153/2015, de 20 de julio</w:t>
      </w:r>
      <w:r w:rsidR="00C21921">
        <w:rPr>
          <w:rStyle w:val="Refdenotaalpie"/>
          <w:rFonts w:ascii="Tahoma" w:hAnsi="Tahoma" w:cs="Tahoma"/>
          <w:sz w:val="24"/>
          <w:szCs w:val="24"/>
        </w:rPr>
        <w:footnoteReference w:id="60"/>
      </w:r>
      <w:r>
        <w:rPr>
          <w:rFonts w:ascii="Tahoma" w:hAnsi="Tahoma" w:cs="Tahoma"/>
          <w:sz w:val="24"/>
          <w:szCs w:val="24"/>
        </w:rPr>
        <w:t>; 1523/2019, de 25 de septiembre</w:t>
      </w:r>
      <w:r w:rsidR="00581FD6">
        <w:rPr>
          <w:rStyle w:val="Refdenotaalpie"/>
          <w:rFonts w:ascii="Tahoma" w:hAnsi="Tahoma" w:cs="Tahoma"/>
          <w:sz w:val="24"/>
          <w:szCs w:val="24"/>
        </w:rPr>
        <w:footnoteReference w:id="61"/>
      </w:r>
      <w:r>
        <w:rPr>
          <w:rFonts w:ascii="Tahoma" w:hAnsi="Tahoma" w:cs="Tahoma"/>
          <w:sz w:val="24"/>
          <w:szCs w:val="24"/>
        </w:rPr>
        <w:t>), extendiendo su aplicación al maltrato “psicológico”</w:t>
      </w:r>
      <w:r w:rsidR="00CE0384">
        <w:rPr>
          <w:rFonts w:ascii="Tahoma" w:hAnsi="Tahoma" w:cs="Tahoma"/>
          <w:sz w:val="24"/>
          <w:szCs w:val="24"/>
        </w:rPr>
        <w:t>, siempre que quede debidamente probado</w:t>
      </w:r>
      <w:r w:rsidR="00CE0384">
        <w:rPr>
          <w:rStyle w:val="Refdenotaalpie"/>
          <w:rFonts w:ascii="Tahoma" w:hAnsi="Tahoma" w:cs="Tahoma"/>
          <w:sz w:val="24"/>
          <w:szCs w:val="24"/>
        </w:rPr>
        <w:footnoteReference w:id="62"/>
      </w:r>
      <w:r w:rsidR="00CE0384">
        <w:rPr>
          <w:rFonts w:ascii="Tahoma" w:hAnsi="Tahoma" w:cs="Tahoma"/>
          <w:sz w:val="24"/>
          <w:szCs w:val="24"/>
        </w:rPr>
        <w:t>.</w:t>
      </w:r>
    </w:p>
    <w:p w14:paraId="2926498F" w14:textId="209ECE1B" w:rsidR="003B252E" w:rsidRPr="003B252E" w:rsidRDefault="003B252E" w:rsidP="003B252E">
      <w:pPr>
        <w:pStyle w:val="Prrafodelista"/>
        <w:numPr>
          <w:ilvl w:val="0"/>
          <w:numId w:val="3"/>
        </w:numPr>
        <w:spacing w:line="360" w:lineRule="auto"/>
        <w:jc w:val="both"/>
        <w:rPr>
          <w:rFonts w:ascii="Tahoma" w:hAnsi="Tahoma" w:cs="Tahoma"/>
          <w:sz w:val="24"/>
          <w:szCs w:val="24"/>
        </w:rPr>
      </w:pPr>
      <w:r w:rsidRPr="003B252E">
        <w:rPr>
          <w:rFonts w:ascii="Tahoma" w:hAnsi="Tahoma" w:cs="Tahoma"/>
          <w:b/>
          <w:bCs/>
          <w:sz w:val="24"/>
          <w:szCs w:val="24"/>
        </w:rPr>
        <w:t>Tendencias en las últimas reformas legislativas</w:t>
      </w:r>
      <w:r>
        <w:rPr>
          <w:rFonts w:ascii="Tahoma" w:hAnsi="Tahoma" w:cs="Tahoma"/>
          <w:sz w:val="24"/>
          <w:szCs w:val="24"/>
        </w:rPr>
        <w:t>.</w:t>
      </w:r>
    </w:p>
    <w:p w14:paraId="43A2B60D" w14:textId="0FA2A4AE" w:rsidR="004C304D" w:rsidRDefault="004C304D" w:rsidP="00DB373E">
      <w:pPr>
        <w:spacing w:line="360" w:lineRule="auto"/>
        <w:ind w:firstLine="708"/>
        <w:jc w:val="both"/>
        <w:rPr>
          <w:rFonts w:ascii="Tahoma" w:hAnsi="Tahoma" w:cs="Tahoma"/>
          <w:sz w:val="24"/>
          <w:szCs w:val="24"/>
        </w:rPr>
      </w:pPr>
      <w:r>
        <w:rPr>
          <w:rFonts w:ascii="Tahoma" w:hAnsi="Tahoma" w:cs="Tahoma"/>
          <w:sz w:val="24"/>
          <w:szCs w:val="24"/>
        </w:rPr>
        <w:t xml:space="preserve">La </w:t>
      </w:r>
      <w:r w:rsidRPr="003B252E">
        <w:rPr>
          <w:rFonts w:ascii="Tahoma" w:hAnsi="Tahoma" w:cs="Tahoma"/>
          <w:i/>
          <w:iCs/>
          <w:sz w:val="24"/>
          <w:szCs w:val="24"/>
        </w:rPr>
        <w:t>tendencia</w:t>
      </w:r>
      <w:r>
        <w:rPr>
          <w:rFonts w:ascii="Tahoma" w:hAnsi="Tahoma" w:cs="Tahoma"/>
          <w:sz w:val="24"/>
          <w:szCs w:val="24"/>
        </w:rPr>
        <w:t xml:space="preserve"> a la reforma de las legítimas, reduciendo su cuantía, flexibilizando su naturaleza jurídica</w:t>
      </w:r>
      <w:r w:rsidR="00F8178C">
        <w:rPr>
          <w:rFonts w:ascii="Tahoma" w:hAnsi="Tahoma" w:cs="Tahoma"/>
          <w:sz w:val="24"/>
          <w:szCs w:val="24"/>
        </w:rPr>
        <w:t>,</w:t>
      </w:r>
      <w:r>
        <w:rPr>
          <w:rFonts w:ascii="Tahoma" w:hAnsi="Tahoma" w:cs="Tahoma"/>
          <w:sz w:val="24"/>
          <w:szCs w:val="24"/>
        </w:rPr>
        <w:t xml:space="preserve"> configurándolas como derecho de crédit</w:t>
      </w:r>
      <w:r w:rsidR="002A0DF2">
        <w:rPr>
          <w:rFonts w:ascii="Tahoma" w:hAnsi="Tahoma" w:cs="Tahoma"/>
          <w:sz w:val="24"/>
          <w:szCs w:val="24"/>
        </w:rPr>
        <w:t xml:space="preserve">o, </w:t>
      </w:r>
      <w:r w:rsidR="00F8178C">
        <w:rPr>
          <w:rFonts w:ascii="Tahoma" w:hAnsi="Tahoma" w:cs="Tahoma"/>
          <w:sz w:val="24"/>
          <w:szCs w:val="24"/>
        </w:rPr>
        <w:t xml:space="preserve">o permitiendo su pago en metálico en determinados supuestos, </w:t>
      </w:r>
      <w:r w:rsidR="002A0DF2">
        <w:rPr>
          <w:rFonts w:ascii="Tahoma" w:hAnsi="Tahoma" w:cs="Tahoma"/>
          <w:sz w:val="24"/>
          <w:szCs w:val="24"/>
        </w:rPr>
        <w:t>suprimiendo, en algunos casos, el número de legitimarios</w:t>
      </w:r>
      <w:r w:rsidR="003B252E">
        <w:rPr>
          <w:rFonts w:ascii="Tahoma" w:hAnsi="Tahoma" w:cs="Tahoma"/>
          <w:sz w:val="24"/>
          <w:szCs w:val="24"/>
        </w:rPr>
        <w:t>,</w:t>
      </w:r>
      <w:r w:rsidR="00F8178C">
        <w:rPr>
          <w:rFonts w:ascii="Tahoma" w:hAnsi="Tahoma" w:cs="Tahoma"/>
          <w:sz w:val="24"/>
          <w:szCs w:val="24"/>
        </w:rPr>
        <w:t xml:space="preserve"> o equiparando a la pareja de hecho con el cónyuge viudo,</w:t>
      </w:r>
      <w:r>
        <w:rPr>
          <w:rFonts w:ascii="Tahoma" w:hAnsi="Tahoma" w:cs="Tahoma"/>
          <w:sz w:val="24"/>
          <w:szCs w:val="24"/>
        </w:rPr>
        <w:t xml:space="preserve"> </w:t>
      </w:r>
      <w:r w:rsidR="00F8178C">
        <w:rPr>
          <w:rFonts w:ascii="Tahoma" w:hAnsi="Tahoma" w:cs="Tahoma"/>
          <w:sz w:val="24"/>
          <w:szCs w:val="24"/>
        </w:rPr>
        <w:t xml:space="preserve">flexibilizando las causas de desheredación, admitiendo la renuncia anticipada a la legítima o los pactos sucesorios, </w:t>
      </w:r>
      <w:r>
        <w:rPr>
          <w:rFonts w:ascii="Tahoma" w:hAnsi="Tahoma" w:cs="Tahoma"/>
          <w:sz w:val="24"/>
          <w:szCs w:val="24"/>
        </w:rPr>
        <w:t xml:space="preserve">y, en general, </w:t>
      </w:r>
      <w:r w:rsidRPr="003B252E">
        <w:rPr>
          <w:rFonts w:ascii="Tahoma" w:hAnsi="Tahoma" w:cs="Tahoma"/>
          <w:i/>
          <w:iCs/>
          <w:sz w:val="24"/>
          <w:szCs w:val="24"/>
        </w:rPr>
        <w:t xml:space="preserve">adaptando su existencia a </w:t>
      </w:r>
      <w:r w:rsidR="00516745" w:rsidRPr="003B252E">
        <w:rPr>
          <w:rFonts w:ascii="Tahoma" w:hAnsi="Tahoma" w:cs="Tahoma"/>
          <w:i/>
          <w:iCs/>
          <w:sz w:val="24"/>
          <w:szCs w:val="24"/>
        </w:rPr>
        <w:t>la realidad</w:t>
      </w:r>
      <w:r w:rsidRPr="003B252E">
        <w:rPr>
          <w:rFonts w:ascii="Tahoma" w:hAnsi="Tahoma" w:cs="Tahoma"/>
          <w:i/>
          <w:iCs/>
          <w:sz w:val="24"/>
          <w:szCs w:val="24"/>
        </w:rPr>
        <w:t xml:space="preserve"> social actual</w:t>
      </w:r>
      <w:r>
        <w:rPr>
          <w:rFonts w:ascii="Tahoma" w:hAnsi="Tahoma" w:cs="Tahoma"/>
          <w:sz w:val="24"/>
          <w:szCs w:val="24"/>
        </w:rPr>
        <w:t>, es tónica general, tanto en nuestro país como fuera de él.</w:t>
      </w:r>
    </w:p>
    <w:p w14:paraId="717A9637" w14:textId="1B45C159" w:rsidR="00516745" w:rsidRDefault="00516745" w:rsidP="00DB373E">
      <w:pPr>
        <w:spacing w:line="360" w:lineRule="auto"/>
        <w:ind w:firstLine="708"/>
        <w:jc w:val="both"/>
        <w:rPr>
          <w:rFonts w:ascii="Tahoma" w:hAnsi="Tahoma" w:cs="Tahoma"/>
          <w:sz w:val="24"/>
          <w:szCs w:val="24"/>
        </w:rPr>
      </w:pPr>
      <w:r>
        <w:rPr>
          <w:rFonts w:ascii="Tahoma" w:hAnsi="Tahoma" w:cs="Tahoma"/>
          <w:sz w:val="24"/>
          <w:szCs w:val="24"/>
        </w:rPr>
        <w:lastRenderedPageBreak/>
        <w:t xml:space="preserve">Así, </w:t>
      </w:r>
      <w:r w:rsidR="00133BA8">
        <w:rPr>
          <w:rFonts w:ascii="Tahoma" w:hAnsi="Tahoma" w:cs="Tahoma"/>
          <w:sz w:val="24"/>
          <w:szCs w:val="24"/>
        </w:rPr>
        <w:t xml:space="preserve">como hemos visto, </w:t>
      </w:r>
      <w:r w:rsidR="00133BA8" w:rsidRPr="003B252E">
        <w:rPr>
          <w:rFonts w:ascii="Tahoma" w:hAnsi="Tahoma" w:cs="Tahoma"/>
          <w:i/>
          <w:iCs/>
          <w:sz w:val="24"/>
          <w:szCs w:val="24"/>
        </w:rPr>
        <w:t>se ha reducido la cuantía</w:t>
      </w:r>
      <w:r w:rsidR="00133BA8">
        <w:rPr>
          <w:rFonts w:ascii="Tahoma" w:hAnsi="Tahoma" w:cs="Tahoma"/>
          <w:sz w:val="24"/>
          <w:szCs w:val="24"/>
        </w:rPr>
        <w:t xml:space="preserve"> de la legítima en Aragón</w:t>
      </w:r>
      <w:r w:rsidR="00626EB4">
        <w:rPr>
          <w:rStyle w:val="Refdenotaalpie"/>
          <w:rFonts w:ascii="Tahoma" w:hAnsi="Tahoma" w:cs="Tahoma"/>
          <w:sz w:val="24"/>
          <w:szCs w:val="24"/>
        </w:rPr>
        <w:footnoteReference w:id="63"/>
      </w:r>
      <w:r w:rsidR="00626EB4">
        <w:rPr>
          <w:rFonts w:ascii="Tahoma" w:hAnsi="Tahoma" w:cs="Tahoma"/>
          <w:sz w:val="24"/>
          <w:szCs w:val="24"/>
        </w:rPr>
        <w:t>, Galicia</w:t>
      </w:r>
      <w:r w:rsidR="00E151DD">
        <w:rPr>
          <w:rStyle w:val="Refdenotaalpie"/>
          <w:rFonts w:ascii="Tahoma" w:hAnsi="Tahoma" w:cs="Tahoma"/>
          <w:sz w:val="24"/>
          <w:szCs w:val="24"/>
        </w:rPr>
        <w:footnoteReference w:id="64"/>
      </w:r>
      <w:r w:rsidR="00626EB4">
        <w:rPr>
          <w:rFonts w:ascii="Tahoma" w:hAnsi="Tahoma" w:cs="Tahoma"/>
          <w:sz w:val="24"/>
          <w:szCs w:val="24"/>
        </w:rPr>
        <w:t>, País Vasco</w:t>
      </w:r>
      <w:r w:rsidR="00E151DD">
        <w:rPr>
          <w:rStyle w:val="Refdenotaalpie"/>
          <w:rFonts w:ascii="Tahoma" w:hAnsi="Tahoma" w:cs="Tahoma"/>
          <w:sz w:val="24"/>
          <w:szCs w:val="24"/>
        </w:rPr>
        <w:footnoteReference w:id="65"/>
      </w:r>
      <w:r w:rsidR="00626EB4">
        <w:rPr>
          <w:rFonts w:ascii="Tahoma" w:hAnsi="Tahoma" w:cs="Tahoma"/>
          <w:sz w:val="24"/>
          <w:szCs w:val="24"/>
        </w:rPr>
        <w:t xml:space="preserve"> y Argentina</w:t>
      </w:r>
      <w:r w:rsidR="00184D01">
        <w:rPr>
          <w:rStyle w:val="Refdenotaalpie"/>
          <w:rFonts w:ascii="Tahoma" w:hAnsi="Tahoma" w:cs="Tahoma"/>
          <w:sz w:val="24"/>
          <w:szCs w:val="24"/>
        </w:rPr>
        <w:footnoteReference w:id="66"/>
      </w:r>
      <w:r w:rsidR="00626EB4">
        <w:rPr>
          <w:rFonts w:ascii="Tahoma" w:hAnsi="Tahoma" w:cs="Tahoma"/>
          <w:sz w:val="24"/>
          <w:szCs w:val="24"/>
        </w:rPr>
        <w:t xml:space="preserve">. </w:t>
      </w:r>
      <w:r w:rsidR="00184D01">
        <w:rPr>
          <w:rFonts w:ascii="Tahoma" w:hAnsi="Tahoma" w:cs="Tahoma"/>
          <w:sz w:val="24"/>
          <w:szCs w:val="24"/>
        </w:rPr>
        <w:t>Más recientemente, con vigencia a partir del 1 de enero de 2023, también se ha modificado el Código Civil suizo, habiéndose reducido la legítima de los descendientes de tres cuartos a una mitad, eliminándose la legítima de los ascendientes.</w:t>
      </w:r>
    </w:p>
    <w:p w14:paraId="396C628B" w14:textId="3DD53B4C" w:rsidR="00184D01" w:rsidRDefault="00184D01" w:rsidP="00DB373E">
      <w:pPr>
        <w:spacing w:line="360" w:lineRule="auto"/>
        <w:ind w:firstLine="708"/>
        <w:jc w:val="both"/>
        <w:rPr>
          <w:rFonts w:ascii="Tahoma" w:hAnsi="Tahoma" w:cs="Tahoma"/>
          <w:sz w:val="24"/>
          <w:szCs w:val="24"/>
        </w:rPr>
      </w:pPr>
      <w:r w:rsidRPr="003B252E">
        <w:rPr>
          <w:rFonts w:ascii="Tahoma" w:hAnsi="Tahoma" w:cs="Tahoma"/>
          <w:i/>
          <w:iCs/>
          <w:sz w:val="24"/>
          <w:szCs w:val="24"/>
        </w:rPr>
        <w:t>La supresión de la legítima de los ascendientes</w:t>
      </w:r>
      <w:r>
        <w:rPr>
          <w:rFonts w:ascii="Tahoma" w:hAnsi="Tahoma" w:cs="Tahoma"/>
          <w:sz w:val="24"/>
          <w:szCs w:val="24"/>
        </w:rPr>
        <w:t xml:space="preserve"> se ha producido también en Francia, Austria, País Vasco y Galicia.</w:t>
      </w:r>
      <w:r w:rsidR="000118E0">
        <w:rPr>
          <w:rFonts w:ascii="Tahoma" w:hAnsi="Tahoma" w:cs="Tahoma"/>
          <w:sz w:val="24"/>
          <w:szCs w:val="24"/>
        </w:rPr>
        <w:t xml:space="preserve"> </w:t>
      </w:r>
      <w:r w:rsidR="00F53473">
        <w:rPr>
          <w:rFonts w:ascii="Tahoma" w:hAnsi="Tahoma" w:cs="Tahoma"/>
          <w:sz w:val="24"/>
          <w:szCs w:val="24"/>
        </w:rPr>
        <w:t>Pero l</w:t>
      </w:r>
      <w:r w:rsidR="000118E0">
        <w:rPr>
          <w:rFonts w:ascii="Tahoma" w:hAnsi="Tahoma" w:cs="Tahoma"/>
          <w:sz w:val="24"/>
          <w:szCs w:val="24"/>
        </w:rPr>
        <w:t>a posición de los ascendientes no sólo sufre en materia de legítimas, sino también en el orden de llamamientos en la sucesión abintestato</w:t>
      </w:r>
      <w:r w:rsidR="002C4BCF">
        <w:rPr>
          <w:rFonts w:ascii="Tahoma" w:hAnsi="Tahoma" w:cs="Tahoma"/>
          <w:sz w:val="24"/>
          <w:szCs w:val="24"/>
        </w:rPr>
        <w:t xml:space="preserve">: así, después de los hijos o descendientes, sucede, en el País Vasco (artículo 112.2 </w:t>
      </w:r>
      <w:r w:rsidR="00F53473">
        <w:rPr>
          <w:rFonts w:ascii="Tahoma" w:hAnsi="Tahoma" w:cs="Tahoma"/>
          <w:sz w:val="24"/>
          <w:szCs w:val="24"/>
        </w:rPr>
        <w:t>Ley 5/2015, de 25 de junio, de Derecho Civil Vasco)</w:t>
      </w:r>
      <w:r w:rsidR="002C4BCF">
        <w:rPr>
          <w:rFonts w:ascii="Tahoma" w:hAnsi="Tahoma" w:cs="Tahoma"/>
          <w:sz w:val="24"/>
          <w:szCs w:val="24"/>
        </w:rPr>
        <w:t xml:space="preserve"> el cónyuge viudo </w:t>
      </w:r>
      <w:r w:rsidR="002C4BCF" w:rsidRPr="002C4BCF">
        <w:rPr>
          <w:rFonts w:ascii="Tahoma" w:hAnsi="Tahoma" w:cs="Tahoma"/>
          <w:sz w:val="24"/>
          <w:szCs w:val="24"/>
        </w:rPr>
        <w:t xml:space="preserve">no separado legalmente o por mutuo acuerdo que conste de modo fehaciente o </w:t>
      </w:r>
      <w:r w:rsidR="00F53473">
        <w:rPr>
          <w:rFonts w:ascii="Tahoma" w:hAnsi="Tahoma" w:cs="Tahoma"/>
          <w:sz w:val="24"/>
          <w:szCs w:val="24"/>
        </w:rPr>
        <w:t>e</w:t>
      </w:r>
      <w:r w:rsidR="002C4BCF" w:rsidRPr="002C4BCF">
        <w:rPr>
          <w:rFonts w:ascii="Tahoma" w:hAnsi="Tahoma" w:cs="Tahoma"/>
          <w:sz w:val="24"/>
          <w:szCs w:val="24"/>
        </w:rPr>
        <w:t>l miembro superviviente de la pareja de hecho extinta por fallecimiento de uno de sus miembros</w:t>
      </w:r>
      <w:r w:rsidR="002C4BCF">
        <w:rPr>
          <w:rFonts w:ascii="Tahoma" w:hAnsi="Tahoma" w:cs="Tahoma"/>
          <w:sz w:val="24"/>
          <w:szCs w:val="24"/>
        </w:rPr>
        <w:t xml:space="preserve">; </w:t>
      </w:r>
      <w:r w:rsidR="00FD63A1">
        <w:rPr>
          <w:rFonts w:ascii="Tahoma" w:hAnsi="Tahoma" w:cs="Tahoma"/>
          <w:sz w:val="24"/>
          <w:szCs w:val="24"/>
        </w:rPr>
        <w:t>en Navarra, tratándose de bienes no troncales, el cónyuge no excluido del usufructo de viudedad conforme a la ley 254 (ley 304</w:t>
      </w:r>
      <w:r w:rsidR="00BD56A2">
        <w:rPr>
          <w:rStyle w:val="Refdenotaalpie"/>
          <w:rFonts w:ascii="Tahoma" w:hAnsi="Tahoma" w:cs="Tahoma"/>
          <w:sz w:val="24"/>
          <w:szCs w:val="24"/>
        </w:rPr>
        <w:footnoteReference w:id="67"/>
      </w:r>
      <w:r w:rsidR="00FD63A1">
        <w:rPr>
          <w:rFonts w:ascii="Tahoma" w:hAnsi="Tahoma" w:cs="Tahoma"/>
          <w:sz w:val="24"/>
          <w:szCs w:val="24"/>
        </w:rPr>
        <w:t>)</w:t>
      </w:r>
      <w:r w:rsidR="00F53473">
        <w:rPr>
          <w:rFonts w:ascii="Tahoma" w:hAnsi="Tahoma" w:cs="Tahoma"/>
          <w:sz w:val="24"/>
          <w:szCs w:val="24"/>
        </w:rPr>
        <w:t xml:space="preserve">; en Cataluña, el </w:t>
      </w:r>
      <w:r w:rsidR="00F53473" w:rsidRPr="00F53473">
        <w:rPr>
          <w:rFonts w:ascii="Tahoma" w:hAnsi="Tahoma" w:cs="Tahoma"/>
          <w:sz w:val="24"/>
          <w:szCs w:val="24"/>
        </w:rPr>
        <w:t xml:space="preserve">cónyuge viudo o </w:t>
      </w:r>
      <w:r w:rsidR="00F53473">
        <w:rPr>
          <w:rFonts w:ascii="Tahoma" w:hAnsi="Tahoma" w:cs="Tahoma"/>
          <w:sz w:val="24"/>
          <w:szCs w:val="24"/>
        </w:rPr>
        <w:t>e</w:t>
      </w:r>
      <w:r w:rsidR="00F53473" w:rsidRPr="00F53473">
        <w:rPr>
          <w:rFonts w:ascii="Tahoma" w:hAnsi="Tahoma" w:cs="Tahoma"/>
          <w:sz w:val="24"/>
          <w:szCs w:val="24"/>
        </w:rPr>
        <w:t>l conviviente en pareja estable superviviente</w:t>
      </w:r>
      <w:r w:rsidR="00C02F88">
        <w:rPr>
          <w:rStyle w:val="Refdenotaalpie"/>
          <w:rFonts w:ascii="Tahoma" w:hAnsi="Tahoma" w:cs="Tahoma"/>
          <w:sz w:val="24"/>
          <w:szCs w:val="24"/>
        </w:rPr>
        <w:footnoteReference w:id="68"/>
      </w:r>
      <w:r w:rsidR="00FD63A1">
        <w:rPr>
          <w:rFonts w:ascii="Tahoma" w:hAnsi="Tahoma" w:cs="Tahoma"/>
          <w:sz w:val="24"/>
          <w:szCs w:val="24"/>
        </w:rPr>
        <w:t xml:space="preserve"> </w:t>
      </w:r>
      <w:r w:rsidR="00E00511">
        <w:rPr>
          <w:rFonts w:ascii="Tahoma" w:hAnsi="Tahoma" w:cs="Tahoma"/>
          <w:sz w:val="24"/>
          <w:szCs w:val="24"/>
        </w:rPr>
        <w:t xml:space="preserve">(artículo 442-3.2 CCCAT); </w:t>
      </w:r>
      <w:r w:rsidR="002C4BCF">
        <w:rPr>
          <w:rFonts w:ascii="Tahoma" w:hAnsi="Tahoma" w:cs="Tahoma"/>
          <w:sz w:val="24"/>
          <w:szCs w:val="24"/>
        </w:rPr>
        <w:t>y sólo después,</w:t>
      </w:r>
      <w:r w:rsidR="00E00511">
        <w:rPr>
          <w:rFonts w:ascii="Tahoma" w:hAnsi="Tahoma" w:cs="Tahoma"/>
          <w:sz w:val="24"/>
          <w:szCs w:val="24"/>
        </w:rPr>
        <w:t xml:space="preserve"> suceden</w:t>
      </w:r>
      <w:r w:rsidR="002C4BCF">
        <w:rPr>
          <w:rFonts w:ascii="Tahoma" w:hAnsi="Tahoma" w:cs="Tahoma"/>
          <w:sz w:val="24"/>
          <w:szCs w:val="24"/>
        </w:rPr>
        <w:t xml:space="preserve"> los ascendientes</w:t>
      </w:r>
      <w:r w:rsidR="00E00511">
        <w:rPr>
          <w:rFonts w:ascii="Tahoma" w:hAnsi="Tahoma" w:cs="Tahoma"/>
          <w:sz w:val="24"/>
          <w:szCs w:val="24"/>
        </w:rPr>
        <w:t>.</w:t>
      </w:r>
    </w:p>
    <w:p w14:paraId="762C85C0" w14:textId="77777777" w:rsidR="00D40592" w:rsidRDefault="00675D8A" w:rsidP="00DB373E">
      <w:pPr>
        <w:spacing w:line="360" w:lineRule="auto"/>
        <w:ind w:firstLine="708"/>
        <w:jc w:val="both"/>
        <w:rPr>
          <w:rFonts w:ascii="Tahoma" w:hAnsi="Tahoma" w:cs="Tahoma"/>
          <w:sz w:val="24"/>
          <w:szCs w:val="24"/>
        </w:rPr>
      </w:pPr>
      <w:r>
        <w:rPr>
          <w:rFonts w:ascii="Tahoma" w:hAnsi="Tahoma" w:cs="Tahoma"/>
          <w:sz w:val="24"/>
          <w:szCs w:val="24"/>
        </w:rPr>
        <w:t xml:space="preserve">Tratándose de la </w:t>
      </w:r>
      <w:r w:rsidRPr="003B252E">
        <w:rPr>
          <w:rFonts w:ascii="Tahoma" w:hAnsi="Tahoma" w:cs="Tahoma"/>
          <w:i/>
          <w:iCs/>
          <w:sz w:val="24"/>
          <w:szCs w:val="24"/>
        </w:rPr>
        <w:t xml:space="preserve">protección de las personas con discapacidad y de la </w:t>
      </w:r>
      <w:r w:rsidR="008D1C67" w:rsidRPr="003B252E">
        <w:rPr>
          <w:rFonts w:ascii="Tahoma" w:hAnsi="Tahoma" w:cs="Tahoma"/>
          <w:i/>
          <w:iCs/>
          <w:sz w:val="24"/>
          <w:szCs w:val="24"/>
        </w:rPr>
        <w:t xml:space="preserve">protección de la </w:t>
      </w:r>
      <w:r w:rsidRPr="003B252E">
        <w:rPr>
          <w:rFonts w:ascii="Tahoma" w:hAnsi="Tahoma" w:cs="Tahoma"/>
          <w:i/>
          <w:iCs/>
          <w:sz w:val="24"/>
          <w:szCs w:val="24"/>
        </w:rPr>
        <w:t>empresa</w:t>
      </w:r>
      <w:r>
        <w:rPr>
          <w:rFonts w:ascii="Tahoma" w:hAnsi="Tahoma" w:cs="Tahoma"/>
          <w:sz w:val="24"/>
          <w:szCs w:val="24"/>
        </w:rPr>
        <w:t xml:space="preserve">, las reformas de la legítima se han ido realizado en </w:t>
      </w:r>
      <w:r w:rsidR="003B252E">
        <w:rPr>
          <w:rFonts w:ascii="Tahoma" w:hAnsi="Tahoma" w:cs="Tahoma"/>
          <w:sz w:val="24"/>
          <w:szCs w:val="24"/>
        </w:rPr>
        <w:t>la mayoría de los</w:t>
      </w:r>
      <w:r>
        <w:rPr>
          <w:rFonts w:ascii="Tahoma" w:hAnsi="Tahoma" w:cs="Tahoma"/>
          <w:sz w:val="24"/>
          <w:szCs w:val="24"/>
        </w:rPr>
        <w:t xml:space="preserve"> ordenamientos jurídicos</w:t>
      </w:r>
      <w:r w:rsidR="008D1C67">
        <w:rPr>
          <w:rFonts w:ascii="Tahoma" w:hAnsi="Tahoma" w:cs="Tahoma"/>
          <w:sz w:val="24"/>
          <w:szCs w:val="24"/>
        </w:rPr>
        <w:t>.</w:t>
      </w:r>
      <w:r w:rsidR="0064581C">
        <w:rPr>
          <w:rFonts w:ascii="Tahoma" w:hAnsi="Tahoma" w:cs="Tahoma"/>
          <w:sz w:val="24"/>
          <w:szCs w:val="24"/>
        </w:rPr>
        <w:t xml:space="preserve"> </w:t>
      </w:r>
    </w:p>
    <w:p w14:paraId="07E58ADC" w14:textId="1DDE59EC" w:rsidR="00D71829" w:rsidRDefault="0064581C" w:rsidP="00DB373E">
      <w:pPr>
        <w:spacing w:line="360" w:lineRule="auto"/>
        <w:ind w:firstLine="708"/>
        <w:jc w:val="both"/>
        <w:rPr>
          <w:rFonts w:ascii="Tahoma" w:hAnsi="Tahoma" w:cs="Tahoma"/>
          <w:sz w:val="24"/>
          <w:szCs w:val="24"/>
        </w:rPr>
      </w:pPr>
      <w:r>
        <w:rPr>
          <w:rFonts w:ascii="Tahoma" w:hAnsi="Tahoma" w:cs="Tahoma"/>
          <w:sz w:val="24"/>
          <w:szCs w:val="24"/>
        </w:rPr>
        <w:t>E</w:t>
      </w:r>
      <w:r w:rsidR="008D1C67">
        <w:rPr>
          <w:rFonts w:ascii="Tahoma" w:hAnsi="Tahoma" w:cs="Tahoma"/>
          <w:sz w:val="24"/>
          <w:szCs w:val="24"/>
        </w:rPr>
        <w:t xml:space="preserve">n España la reforma del Código Civil por la Ley </w:t>
      </w:r>
      <w:r>
        <w:rPr>
          <w:rFonts w:ascii="Tahoma" w:hAnsi="Tahoma" w:cs="Tahoma"/>
          <w:sz w:val="24"/>
          <w:szCs w:val="24"/>
        </w:rPr>
        <w:t xml:space="preserve">41/2003, de 18 de noviembre posibilitó el establecimiento de una sustitución fideicomisaria sobre la </w:t>
      </w:r>
      <w:r>
        <w:rPr>
          <w:rFonts w:ascii="Tahoma" w:hAnsi="Tahoma" w:cs="Tahoma"/>
          <w:sz w:val="24"/>
          <w:szCs w:val="24"/>
        </w:rPr>
        <w:lastRenderedPageBreak/>
        <w:t xml:space="preserve">legítima estricta, </w:t>
      </w:r>
      <w:r w:rsidRPr="0064581C">
        <w:rPr>
          <w:rFonts w:ascii="Tahoma" w:hAnsi="Tahoma" w:cs="Tahoma"/>
          <w:sz w:val="24"/>
          <w:szCs w:val="24"/>
        </w:rPr>
        <w:t>siendo fiduciarios los hijos o descendientes judicialmente incapacitados y fideicomisarios los coherederos forzosos</w:t>
      </w:r>
      <w:r>
        <w:rPr>
          <w:rFonts w:ascii="Tahoma" w:hAnsi="Tahoma" w:cs="Tahoma"/>
          <w:sz w:val="24"/>
          <w:szCs w:val="24"/>
        </w:rPr>
        <w:t>, que más recientemente la importante reforma realizada por la Ley 8/2021, de 2 de junio, ha ampliado en beneficio de las personas con discapacidad, si bien con una deficiente técnica legislativa que plantea numerosos interrogantes; y la Ley 7/2003, de 1 de abril, al modificar el párrafo segundo del artículo 1056 CC, amplió la posibilidad que tenía “el padre en interés de la familia” de “conservar indivisa</w:t>
      </w:r>
      <w:r w:rsidR="00C950A3">
        <w:rPr>
          <w:rFonts w:ascii="Tahoma" w:hAnsi="Tahoma" w:cs="Tahoma"/>
          <w:sz w:val="24"/>
          <w:szCs w:val="24"/>
        </w:rPr>
        <w:t xml:space="preserve"> una explotación agrícola, industrial o fabril” al “testador que e</w:t>
      </w:r>
      <w:r w:rsidR="00C950A3" w:rsidRPr="00C950A3">
        <w:rPr>
          <w:rFonts w:ascii="Tahoma" w:hAnsi="Tahoma" w:cs="Tahoma"/>
          <w:sz w:val="24"/>
          <w:szCs w:val="24"/>
        </w:rPr>
        <w:t>n atención a la conservación de la empresa o en interés de su familia quiera preservar indivisa una explotación económica o bien mantener el control de una sociedad de capital o grupo de éstas</w:t>
      </w:r>
      <w:r w:rsidR="00C950A3">
        <w:rPr>
          <w:rFonts w:ascii="Tahoma" w:hAnsi="Tahoma" w:cs="Tahoma"/>
          <w:sz w:val="24"/>
          <w:szCs w:val="24"/>
        </w:rPr>
        <w:t>”, de disponer el pago en metálico de la legítima a los demás interesados.</w:t>
      </w:r>
    </w:p>
    <w:p w14:paraId="14C6B103" w14:textId="07A60A4B" w:rsidR="00675D8A" w:rsidRDefault="00C950A3" w:rsidP="00DB373E">
      <w:pPr>
        <w:spacing w:line="360" w:lineRule="auto"/>
        <w:ind w:firstLine="708"/>
        <w:jc w:val="both"/>
        <w:rPr>
          <w:rFonts w:ascii="Tahoma" w:hAnsi="Tahoma" w:cs="Tahoma"/>
          <w:sz w:val="24"/>
          <w:szCs w:val="24"/>
        </w:rPr>
      </w:pPr>
      <w:r>
        <w:rPr>
          <w:rFonts w:ascii="Tahoma" w:hAnsi="Tahoma" w:cs="Tahoma"/>
          <w:sz w:val="24"/>
          <w:szCs w:val="24"/>
        </w:rPr>
        <w:t xml:space="preserve"> En </w:t>
      </w:r>
      <w:r w:rsidRPr="003B252E">
        <w:rPr>
          <w:rFonts w:ascii="Tahoma" w:hAnsi="Tahoma" w:cs="Tahoma"/>
          <w:sz w:val="24"/>
          <w:szCs w:val="24"/>
        </w:rPr>
        <w:t>Argentina,</w:t>
      </w:r>
      <w:r>
        <w:rPr>
          <w:rFonts w:ascii="Tahoma" w:hAnsi="Tahoma" w:cs="Tahoma"/>
          <w:sz w:val="24"/>
          <w:szCs w:val="24"/>
        </w:rPr>
        <w:t xml:space="preserve"> el artículo 2448 del Código Civil y Comercial de la Nación (aprobado por </w:t>
      </w:r>
      <w:r w:rsidR="009C7F68">
        <w:rPr>
          <w:rFonts w:ascii="Tahoma" w:hAnsi="Tahoma" w:cs="Tahoma"/>
          <w:sz w:val="24"/>
          <w:szCs w:val="24"/>
        </w:rPr>
        <w:t>la Ley 26.994 de</w:t>
      </w:r>
      <w:r>
        <w:rPr>
          <w:rFonts w:ascii="Tahoma" w:hAnsi="Tahoma" w:cs="Tahoma"/>
          <w:sz w:val="24"/>
          <w:szCs w:val="24"/>
        </w:rPr>
        <w:t xml:space="preserve"> 2014), contempla la mejora a favor del heredero con discapacidad, en un sentido</w:t>
      </w:r>
      <w:r w:rsidR="009C7F68">
        <w:rPr>
          <w:rFonts w:ascii="Tahoma" w:hAnsi="Tahoma" w:cs="Tahoma"/>
          <w:sz w:val="24"/>
          <w:szCs w:val="24"/>
        </w:rPr>
        <w:t xml:space="preserve"> más amplio al regulado en el Código Civil español</w:t>
      </w:r>
      <w:r w:rsidR="009C7F68">
        <w:rPr>
          <w:rStyle w:val="Refdenotaalpie"/>
          <w:rFonts w:ascii="Tahoma" w:hAnsi="Tahoma" w:cs="Tahoma"/>
          <w:sz w:val="24"/>
          <w:szCs w:val="24"/>
        </w:rPr>
        <w:footnoteReference w:id="69"/>
      </w:r>
      <w:r>
        <w:rPr>
          <w:rFonts w:ascii="Tahoma" w:hAnsi="Tahoma" w:cs="Tahoma"/>
          <w:sz w:val="24"/>
          <w:szCs w:val="24"/>
        </w:rPr>
        <w:t>.</w:t>
      </w:r>
    </w:p>
    <w:p w14:paraId="103CCF52" w14:textId="77777777" w:rsidR="00D40592" w:rsidRDefault="00D71829" w:rsidP="00DB373E">
      <w:pPr>
        <w:spacing w:line="360" w:lineRule="auto"/>
        <w:ind w:firstLine="708"/>
        <w:jc w:val="both"/>
        <w:rPr>
          <w:rFonts w:ascii="Tahoma" w:hAnsi="Tahoma" w:cs="Tahoma"/>
          <w:sz w:val="24"/>
          <w:szCs w:val="24"/>
        </w:rPr>
      </w:pPr>
      <w:r>
        <w:rPr>
          <w:rFonts w:ascii="Tahoma" w:hAnsi="Tahoma" w:cs="Tahoma"/>
          <w:sz w:val="24"/>
          <w:szCs w:val="24"/>
        </w:rPr>
        <w:t>La última reforma de la legislación alemana permite el aplazamiento de pago en dinero cuando el bien que recibe el heredero es una empresa.</w:t>
      </w:r>
    </w:p>
    <w:p w14:paraId="3E3C1306" w14:textId="77777777" w:rsidR="00D40592" w:rsidRDefault="00D71829" w:rsidP="00DB373E">
      <w:pPr>
        <w:spacing w:line="360" w:lineRule="auto"/>
        <w:ind w:firstLine="708"/>
        <w:jc w:val="both"/>
        <w:rPr>
          <w:rFonts w:ascii="Tahoma" w:hAnsi="Tahoma" w:cs="Tahoma"/>
          <w:sz w:val="24"/>
          <w:szCs w:val="24"/>
        </w:rPr>
      </w:pPr>
      <w:r>
        <w:rPr>
          <w:rFonts w:ascii="Tahoma" w:hAnsi="Tahoma" w:cs="Tahoma"/>
          <w:sz w:val="24"/>
          <w:szCs w:val="24"/>
        </w:rPr>
        <w:t xml:space="preserve"> En la reforma del Código Civil francés se ha admitido el pacto sucesorio que atribuye a uno de los hijos la empresa para que continúe su explotación.</w:t>
      </w:r>
    </w:p>
    <w:p w14:paraId="608CE69B" w14:textId="07EA2FE5" w:rsidR="00D71829" w:rsidRDefault="00D71829" w:rsidP="00DB373E">
      <w:pPr>
        <w:spacing w:line="360" w:lineRule="auto"/>
        <w:ind w:firstLine="708"/>
        <w:jc w:val="both"/>
        <w:rPr>
          <w:rFonts w:ascii="Tahoma" w:hAnsi="Tahoma" w:cs="Tahoma"/>
          <w:sz w:val="24"/>
          <w:szCs w:val="24"/>
        </w:rPr>
      </w:pPr>
      <w:r>
        <w:rPr>
          <w:rFonts w:ascii="Tahoma" w:hAnsi="Tahoma" w:cs="Tahoma"/>
          <w:sz w:val="24"/>
          <w:szCs w:val="24"/>
        </w:rPr>
        <w:t xml:space="preserve"> Al igual ha sucedido en las reformas del Derecho italiano y argentino, al flexibilizar el pago de la legítima cuando se trata de conservar la empresa.</w:t>
      </w:r>
    </w:p>
    <w:p w14:paraId="63E5074A" w14:textId="47C12044" w:rsidR="003B252E" w:rsidRPr="003B252E" w:rsidRDefault="003B252E" w:rsidP="003B252E">
      <w:pPr>
        <w:pStyle w:val="Prrafodelista"/>
        <w:numPr>
          <w:ilvl w:val="0"/>
          <w:numId w:val="3"/>
        </w:numPr>
        <w:spacing w:line="360" w:lineRule="auto"/>
        <w:jc w:val="both"/>
        <w:rPr>
          <w:rFonts w:ascii="Tahoma" w:hAnsi="Tahoma" w:cs="Tahoma"/>
          <w:b/>
          <w:bCs/>
          <w:sz w:val="24"/>
          <w:szCs w:val="24"/>
        </w:rPr>
      </w:pPr>
      <w:r w:rsidRPr="003B252E">
        <w:rPr>
          <w:rFonts w:ascii="Tahoma" w:hAnsi="Tahoma" w:cs="Tahoma"/>
          <w:b/>
          <w:bCs/>
          <w:sz w:val="24"/>
          <w:szCs w:val="24"/>
        </w:rPr>
        <w:t>Propuestas de reforma.</w:t>
      </w:r>
    </w:p>
    <w:p w14:paraId="1D646B9E" w14:textId="77777777" w:rsidR="003B252E" w:rsidRDefault="00666939" w:rsidP="00DB373E">
      <w:pPr>
        <w:spacing w:line="360" w:lineRule="auto"/>
        <w:ind w:firstLine="708"/>
        <w:jc w:val="both"/>
        <w:rPr>
          <w:rFonts w:ascii="Tahoma" w:hAnsi="Tahoma" w:cs="Tahoma"/>
          <w:sz w:val="24"/>
          <w:szCs w:val="24"/>
        </w:rPr>
      </w:pPr>
      <w:r>
        <w:rPr>
          <w:rFonts w:ascii="Tahoma" w:hAnsi="Tahoma" w:cs="Tahoma"/>
          <w:sz w:val="24"/>
          <w:szCs w:val="24"/>
        </w:rPr>
        <w:t>Desde el punto de vista de las propuestas de reforma, cabe reseñar, siguiendo a Victorio MAGARIÑOS</w:t>
      </w:r>
      <w:r>
        <w:rPr>
          <w:rStyle w:val="Refdenotaalpie"/>
          <w:rFonts w:ascii="Tahoma" w:hAnsi="Tahoma" w:cs="Tahoma"/>
          <w:sz w:val="24"/>
          <w:szCs w:val="24"/>
        </w:rPr>
        <w:footnoteReference w:id="70"/>
      </w:r>
      <w:r>
        <w:rPr>
          <w:rFonts w:ascii="Tahoma" w:hAnsi="Tahoma" w:cs="Tahoma"/>
          <w:sz w:val="24"/>
          <w:szCs w:val="24"/>
        </w:rPr>
        <w:t>, los siguientes hitos</w:t>
      </w:r>
      <w:r w:rsidR="003B252E">
        <w:rPr>
          <w:rFonts w:ascii="Tahoma" w:hAnsi="Tahoma" w:cs="Tahoma"/>
          <w:sz w:val="24"/>
          <w:szCs w:val="24"/>
        </w:rPr>
        <w:t>:</w:t>
      </w:r>
    </w:p>
    <w:p w14:paraId="5B03BBEA" w14:textId="77777777" w:rsidR="00D40592" w:rsidRDefault="00666939" w:rsidP="00DB373E">
      <w:pPr>
        <w:spacing w:line="360" w:lineRule="auto"/>
        <w:ind w:firstLine="708"/>
        <w:jc w:val="both"/>
        <w:rPr>
          <w:rFonts w:ascii="Tahoma" w:hAnsi="Tahoma" w:cs="Tahoma"/>
          <w:sz w:val="24"/>
          <w:szCs w:val="24"/>
        </w:rPr>
      </w:pPr>
      <w:r>
        <w:rPr>
          <w:rFonts w:ascii="Tahoma" w:hAnsi="Tahoma" w:cs="Tahoma"/>
          <w:sz w:val="24"/>
          <w:szCs w:val="24"/>
        </w:rPr>
        <w:lastRenderedPageBreak/>
        <w:t xml:space="preserve"> En el año 1993, en la Academia Sevillana del Notariado, se inició el estudio de los problemas de justicia provocados por la limitación de la libertad de testar. Adolfo CALATAYUD SIERRA, en una conferencia pronunciada en 1995, defendió la </w:t>
      </w:r>
      <w:r w:rsidRPr="001E0139">
        <w:rPr>
          <w:rFonts w:ascii="Tahoma" w:hAnsi="Tahoma" w:cs="Tahoma"/>
          <w:i/>
          <w:iCs/>
          <w:sz w:val="24"/>
          <w:szCs w:val="24"/>
        </w:rPr>
        <w:t>supresión de las legítimas material y formal y un sistema de libertad de testar de amplio alcance combinado con un derecho de alimentos</w:t>
      </w:r>
      <w:r w:rsidR="0001453D" w:rsidRPr="001E0139">
        <w:rPr>
          <w:rFonts w:ascii="Tahoma" w:hAnsi="Tahoma" w:cs="Tahoma"/>
          <w:i/>
          <w:iCs/>
          <w:sz w:val="24"/>
          <w:szCs w:val="24"/>
        </w:rPr>
        <w:t xml:space="preserve"> y con un sistema troncal en determinados casos, </w:t>
      </w:r>
      <w:r w:rsidR="0001453D">
        <w:rPr>
          <w:rFonts w:ascii="Tahoma" w:hAnsi="Tahoma" w:cs="Tahoma"/>
          <w:sz w:val="24"/>
          <w:szCs w:val="24"/>
        </w:rPr>
        <w:t>atribuyendo al cónyuge viudo un derecho vitalicio de habitación sobre la vivienda conyugal y el mismo derecho de alimentos que tienen los descendientes</w:t>
      </w:r>
      <w:r>
        <w:rPr>
          <w:rFonts w:ascii="Tahoma" w:hAnsi="Tahoma" w:cs="Tahoma"/>
          <w:sz w:val="24"/>
          <w:szCs w:val="24"/>
        </w:rPr>
        <w:t>.</w:t>
      </w:r>
    </w:p>
    <w:p w14:paraId="5B5DD124" w14:textId="21B294D0" w:rsidR="001E0139" w:rsidRDefault="00666939" w:rsidP="00DB373E">
      <w:pPr>
        <w:spacing w:line="360" w:lineRule="auto"/>
        <w:ind w:firstLine="708"/>
        <w:jc w:val="both"/>
        <w:rPr>
          <w:rFonts w:ascii="Tahoma" w:hAnsi="Tahoma" w:cs="Tahoma"/>
          <w:sz w:val="24"/>
          <w:szCs w:val="24"/>
        </w:rPr>
      </w:pPr>
      <w:r>
        <w:rPr>
          <w:rFonts w:ascii="Tahoma" w:hAnsi="Tahoma" w:cs="Tahoma"/>
          <w:sz w:val="24"/>
          <w:szCs w:val="24"/>
        </w:rPr>
        <w:t xml:space="preserve"> En el ciclo de conferencias del Colegio Notarial de Oviedo</w:t>
      </w:r>
      <w:r w:rsidR="00941FD2">
        <w:rPr>
          <w:rStyle w:val="Refdenotaalpie"/>
          <w:rFonts w:ascii="Tahoma" w:hAnsi="Tahoma" w:cs="Tahoma"/>
          <w:sz w:val="24"/>
          <w:szCs w:val="24"/>
        </w:rPr>
        <w:footnoteReference w:id="71"/>
      </w:r>
      <w:r w:rsidR="00941FD2">
        <w:rPr>
          <w:rFonts w:ascii="Tahoma" w:hAnsi="Tahoma" w:cs="Tahoma"/>
          <w:sz w:val="24"/>
          <w:szCs w:val="24"/>
        </w:rPr>
        <w:t>, publicadas en 2001</w:t>
      </w:r>
      <w:r w:rsidR="00941FD2">
        <w:rPr>
          <w:rStyle w:val="Refdenotaalpie"/>
          <w:rFonts w:ascii="Tahoma" w:hAnsi="Tahoma" w:cs="Tahoma"/>
          <w:sz w:val="24"/>
          <w:szCs w:val="24"/>
        </w:rPr>
        <w:footnoteReference w:id="72"/>
      </w:r>
      <w:r w:rsidR="00941FD2">
        <w:rPr>
          <w:rFonts w:ascii="Tahoma" w:hAnsi="Tahoma" w:cs="Tahoma"/>
          <w:sz w:val="24"/>
          <w:szCs w:val="24"/>
        </w:rPr>
        <w:t>, Pablo DE LA ESPERANZA defendió también</w:t>
      </w:r>
      <w:r w:rsidR="001E0139">
        <w:rPr>
          <w:rFonts w:ascii="Tahoma" w:hAnsi="Tahoma" w:cs="Tahoma"/>
          <w:sz w:val="24"/>
          <w:szCs w:val="24"/>
        </w:rPr>
        <w:t>, de un modo muy similar al anterior,</w:t>
      </w:r>
      <w:r w:rsidR="00941FD2">
        <w:rPr>
          <w:rFonts w:ascii="Tahoma" w:hAnsi="Tahoma" w:cs="Tahoma"/>
          <w:sz w:val="24"/>
          <w:szCs w:val="24"/>
        </w:rPr>
        <w:t xml:space="preserve"> la libertad de testar, proponiendo la desaparición de las legítimas combinado con un sistema de alimentos respecto a los hijos o nietos que, al fallecimiento del testador, estuviesen en situación de pedirlos. </w:t>
      </w:r>
    </w:p>
    <w:p w14:paraId="656CF60D" w14:textId="717CC9FD" w:rsidR="00666939" w:rsidRDefault="00941FD2" w:rsidP="00DB373E">
      <w:pPr>
        <w:spacing w:line="360" w:lineRule="auto"/>
        <w:ind w:firstLine="708"/>
        <w:jc w:val="both"/>
        <w:rPr>
          <w:rFonts w:ascii="Tahoma" w:hAnsi="Tahoma" w:cs="Tahoma"/>
          <w:sz w:val="24"/>
          <w:szCs w:val="24"/>
        </w:rPr>
      </w:pPr>
      <w:r>
        <w:rPr>
          <w:rFonts w:ascii="Tahoma" w:hAnsi="Tahoma" w:cs="Tahoma"/>
          <w:sz w:val="24"/>
          <w:szCs w:val="24"/>
        </w:rPr>
        <w:t>En el año 2005 se organizó por la Asociación Notarial Joaquín Costa un seminario en el Colegio Notarial de Madrid: se defendió la libertad de testar por el Magistrado del Tribunal Supremo y catedrático de Derecho Civil Xavier O´CALLAGHAN MUÑOZ y por el notario Rafael LEÑA FERNÁNDEZ.</w:t>
      </w:r>
    </w:p>
    <w:p w14:paraId="5C36CD33" w14:textId="6727F328" w:rsidR="00926D1B" w:rsidRDefault="002339A8" w:rsidP="00DB373E">
      <w:pPr>
        <w:spacing w:line="360" w:lineRule="auto"/>
        <w:ind w:firstLine="708"/>
        <w:jc w:val="both"/>
        <w:rPr>
          <w:rFonts w:ascii="Tahoma" w:hAnsi="Tahoma" w:cs="Tahoma"/>
          <w:sz w:val="24"/>
          <w:szCs w:val="24"/>
        </w:rPr>
      </w:pPr>
      <w:r>
        <w:rPr>
          <w:rFonts w:ascii="Tahoma" w:hAnsi="Tahoma" w:cs="Tahoma"/>
          <w:sz w:val="24"/>
          <w:szCs w:val="24"/>
        </w:rPr>
        <w:t xml:space="preserve">En las decimosegundas Jornadas de </w:t>
      </w:r>
      <w:r w:rsidR="00926D1B">
        <w:rPr>
          <w:rFonts w:ascii="Tahoma" w:hAnsi="Tahoma" w:cs="Tahoma"/>
          <w:sz w:val="24"/>
          <w:szCs w:val="24"/>
        </w:rPr>
        <w:t xml:space="preserve">La </w:t>
      </w:r>
      <w:r w:rsidR="00926D1B" w:rsidRPr="001E0139">
        <w:rPr>
          <w:rFonts w:ascii="Tahoma" w:hAnsi="Tahoma" w:cs="Tahoma"/>
          <w:i/>
          <w:iCs/>
          <w:sz w:val="24"/>
          <w:szCs w:val="24"/>
        </w:rPr>
        <w:t>Asociación de Profesores de Derecho Civil</w:t>
      </w:r>
      <w:r w:rsidR="00926D1B">
        <w:rPr>
          <w:rFonts w:ascii="Tahoma" w:hAnsi="Tahoma" w:cs="Tahoma"/>
          <w:sz w:val="24"/>
          <w:szCs w:val="24"/>
        </w:rPr>
        <w:t xml:space="preserve">, celebradas en Santander, en febrero de </w:t>
      </w:r>
      <w:r w:rsidR="00926D1B" w:rsidRPr="00C212A2">
        <w:rPr>
          <w:rFonts w:ascii="Tahoma" w:hAnsi="Tahoma" w:cs="Tahoma"/>
          <w:i/>
          <w:iCs/>
          <w:sz w:val="24"/>
          <w:szCs w:val="24"/>
        </w:rPr>
        <w:t>2006</w:t>
      </w:r>
      <w:r w:rsidR="00926D1B">
        <w:rPr>
          <w:rFonts w:ascii="Tahoma" w:hAnsi="Tahoma" w:cs="Tahoma"/>
          <w:sz w:val="24"/>
          <w:szCs w:val="24"/>
        </w:rPr>
        <w:t xml:space="preserve">, </w:t>
      </w:r>
      <w:r>
        <w:rPr>
          <w:rFonts w:ascii="Tahoma" w:hAnsi="Tahoma" w:cs="Tahoma"/>
          <w:sz w:val="24"/>
          <w:szCs w:val="24"/>
        </w:rPr>
        <w:t>se propuso</w:t>
      </w:r>
      <w:r w:rsidR="00926D1B">
        <w:rPr>
          <w:rFonts w:ascii="Tahoma" w:hAnsi="Tahoma" w:cs="Tahoma"/>
          <w:sz w:val="24"/>
          <w:szCs w:val="24"/>
        </w:rPr>
        <w:t xml:space="preserve"> la reducción a la mitad de la legítima de los descendientes.</w:t>
      </w:r>
    </w:p>
    <w:p w14:paraId="2F9833CA" w14:textId="2ED01229" w:rsidR="00926D1B" w:rsidRDefault="00926D1B" w:rsidP="00DB373E">
      <w:pPr>
        <w:spacing w:line="360" w:lineRule="auto"/>
        <w:ind w:firstLine="708"/>
        <w:jc w:val="both"/>
        <w:rPr>
          <w:rFonts w:ascii="Tahoma" w:hAnsi="Tahoma" w:cs="Tahoma"/>
          <w:sz w:val="24"/>
          <w:szCs w:val="24"/>
        </w:rPr>
      </w:pPr>
      <w:r>
        <w:rPr>
          <w:rFonts w:ascii="Tahoma" w:hAnsi="Tahoma" w:cs="Tahoma"/>
          <w:sz w:val="24"/>
          <w:szCs w:val="24"/>
        </w:rPr>
        <w:t xml:space="preserve">El </w:t>
      </w:r>
      <w:r w:rsidRPr="001E0139">
        <w:rPr>
          <w:rFonts w:ascii="Tahoma" w:hAnsi="Tahoma" w:cs="Tahoma"/>
          <w:i/>
          <w:iCs/>
          <w:sz w:val="24"/>
          <w:szCs w:val="24"/>
        </w:rPr>
        <w:t>Congreso Notarial de 2012</w:t>
      </w:r>
      <w:r>
        <w:rPr>
          <w:rFonts w:ascii="Tahoma" w:hAnsi="Tahoma" w:cs="Tahoma"/>
          <w:sz w:val="24"/>
          <w:szCs w:val="24"/>
        </w:rPr>
        <w:t xml:space="preserve"> señaló, entre sus conclusiones, la </w:t>
      </w:r>
      <w:r w:rsidR="00CD19E1">
        <w:rPr>
          <w:rFonts w:ascii="Tahoma" w:hAnsi="Tahoma" w:cs="Tahoma"/>
          <w:sz w:val="24"/>
          <w:szCs w:val="24"/>
        </w:rPr>
        <w:t>necesidad de reformar sustancialmente el sistema legitimario del Código Civil, bien suprimiendo las legítimas, o bien modificando su sistema de protección y reduciendo su cuantía y ámbito personal, dando entrada al testamento mancomunado, a los pactos sucesorios y una mayor amplitud a las instituciones fiduciarias.</w:t>
      </w:r>
    </w:p>
    <w:p w14:paraId="3D25D134" w14:textId="53BCBE5E" w:rsidR="00FD7909" w:rsidRDefault="00CD19E1" w:rsidP="00DB373E">
      <w:pPr>
        <w:spacing w:line="360" w:lineRule="auto"/>
        <w:ind w:firstLine="708"/>
        <w:jc w:val="both"/>
        <w:rPr>
          <w:rFonts w:ascii="Tahoma" w:hAnsi="Tahoma" w:cs="Tahoma"/>
          <w:sz w:val="24"/>
          <w:szCs w:val="24"/>
        </w:rPr>
      </w:pPr>
      <w:r>
        <w:rPr>
          <w:rFonts w:ascii="Tahoma" w:hAnsi="Tahoma" w:cs="Tahoma"/>
          <w:sz w:val="24"/>
          <w:szCs w:val="24"/>
        </w:rPr>
        <w:t xml:space="preserve">El debate sobre las legítimas ha dado lugar a </w:t>
      </w:r>
      <w:r w:rsidRPr="001E0139">
        <w:rPr>
          <w:rFonts w:ascii="Tahoma" w:hAnsi="Tahoma" w:cs="Tahoma"/>
          <w:i/>
          <w:iCs/>
          <w:sz w:val="24"/>
          <w:szCs w:val="24"/>
        </w:rPr>
        <w:t>múltiples trabajos doctrinales,</w:t>
      </w:r>
      <w:r>
        <w:rPr>
          <w:rFonts w:ascii="Tahoma" w:hAnsi="Tahoma" w:cs="Tahoma"/>
          <w:sz w:val="24"/>
          <w:szCs w:val="24"/>
        </w:rPr>
        <w:t xml:space="preserve"> defendiendo su supresión</w:t>
      </w:r>
      <w:r w:rsidR="00C212A2">
        <w:rPr>
          <w:rFonts w:ascii="Tahoma" w:hAnsi="Tahoma" w:cs="Tahoma"/>
          <w:sz w:val="24"/>
          <w:szCs w:val="24"/>
        </w:rPr>
        <w:t>,</w:t>
      </w:r>
      <w:r>
        <w:rPr>
          <w:rFonts w:ascii="Tahoma" w:hAnsi="Tahoma" w:cs="Tahoma"/>
          <w:sz w:val="24"/>
          <w:szCs w:val="24"/>
        </w:rPr>
        <w:t xml:space="preserve"> </w:t>
      </w:r>
      <w:r w:rsidR="00C212A2">
        <w:rPr>
          <w:rFonts w:ascii="Tahoma" w:hAnsi="Tahoma" w:cs="Tahoma"/>
          <w:sz w:val="24"/>
          <w:szCs w:val="24"/>
        </w:rPr>
        <w:t>o su mantenimiento</w:t>
      </w:r>
      <w:r>
        <w:rPr>
          <w:rFonts w:ascii="Tahoma" w:hAnsi="Tahoma" w:cs="Tahoma"/>
          <w:sz w:val="24"/>
          <w:szCs w:val="24"/>
        </w:rPr>
        <w:t xml:space="preserve"> con modificaciones. </w:t>
      </w:r>
      <w:r>
        <w:rPr>
          <w:rFonts w:ascii="Tahoma" w:hAnsi="Tahoma" w:cs="Tahoma"/>
          <w:sz w:val="24"/>
          <w:szCs w:val="24"/>
        </w:rPr>
        <w:lastRenderedPageBreak/>
        <w:t>En favor de la libertad de testar se han pronunciado, entre otros: Encarnación ROCA TRÍAS, Aurelio BARRIO GALLARDO, Paloma DE BARRÓN ARNICHES, Ignacio GOMÁ LANZÓN</w:t>
      </w:r>
      <w:r w:rsidR="00A17EEA">
        <w:rPr>
          <w:rFonts w:ascii="Tahoma" w:hAnsi="Tahoma" w:cs="Tahoma"/>
          <w:sz w:val="24"/>
          <w:szCs w:val="24"/>
        </w:rPr>
        <w:t>, Victorio MAGARIÑOS BLANCO,</w:t>
      </w:r>
      <w:r>
        <w:rPr>
          <w:rFonts w:ascii="Tahoma" w:hAnsi="Tahoma" w:cs="Tahoma"/>
          <w:sz w:val="24"/>
          <w:szCs w:val="24"/>
        </w:rPr>
        <w:t xml:space="preserve"> Javier OÑATE CUADROS</w:t>
      </w:r>
      <w:r w:rsidR="00A17EEA">
        <w:rPr>
          <w:rFonts w:ascii="Tahoma" w:hAnsi="Tahoma" w:cs="Tahoma"/>
          <w:sz w:val="24"/>
          <w:szCs w:val="24"/>
        </w:rPr>
        <w:t xml:space="preserve"> </w:t>
      </w:r>
      <w:r w:rsidR="00D40592">
        <w:rPr>
          <w:rFonts w:ascii="Tahoma" w:hAnsi="Tahoma" w:cs="Tahoma"/>
          <w:sz w:val="24"/>
          <w:szCs w:val="24"/>
        </w:rPr>
        <w:t>o</w:t>
      </w:r>
      <w:r w:rsidR="00A17EEA">
        <w:rPr>
          <w:rFonts w:ascii="Tahoma" w:hAnsi="Tahoma" w:cs="Tahoma"/>
          <w:sz w:val="24"/>
          <w:szCs w:val="24"/>
        </w:rPr>
        <w:t xml:space="preserve"> Javier VERDERA SERVER</w:t>
      </w:r>
      <w:r>
        <w:rPr>
          <w:rFonts w:ascii="Tahoma" w:hAnsi="Tahoma" w:cs="Tahoma"/>
          <w:sz w:val="24"/>
          <w:szCs w:val="24"/>
        </w:rPr>
        <w:t xml:space="preserve">.  </w:t>
      </w:r>
      <w:r w:rsidR="00296B69">
        <w:rPr>
          <w:rFonts w:ascii="Tahoma" w:hAnsi="Tahoma" w:cs="Tahoma"/>
          <w:sz w:val="24"/>
          <w:szCs w:val="24"/>
        </w:rPr>
        <w:t xml:space="preserve">En favor de flexibilizar la legítima se puede decir que hay una mayoría de autores: </w:t>
      </w:r>
      <w:r w:rsidR="00080DA4">
        <w:rPr>
          <w:rFonts w:ascii="Tahoma" w:hAnsi="Tahoma" w:cs="Tahoma"/>
          <w:sz w:val="24"/>
          <w:szCs w:val="24"/>
        </w:rPr>
        <w:t>BADENAS BALDÓ</w:t>
      </w:r>
      <w:r w:rsidR="00080DA4">
        <w:rPr>
          <w:rStyle w:val="Refdenotaalpie"/>
          <w:rFonts w:ascii="Tahoma" w:hAnsi="Tahoma" w:cs="Tahoma"/>
          <w:sz w:val="24"/>
          <w:szCs w:val="24"/>
        </w:rPr>
        <w:footnoteReference w:id="73"/>
      </w:r>
      <w:r w:rsidR="00080DA4">
        <w:rPr>
          <w:rFonts w:ascii="Tahoma" w:hAnsi="Tahoma" w:cs="Tahoma"/>
          <w:sz w:val="24"/>
          <w:szCs w:val="24"/>
        </w:rPr>
        <w:t>, CABELLO HERNÁNDEZ</w:t>
      </w:r>
      <w:r w:rsidR="00080DA4">
        <w:rPr>
          <w:rStyle w:val="Refdenotaalpie"/>
          <w:rFonts w:ascii="Tahoma" w:hAnsi="Tahoma" w:cs="Tahoma"/>
          <w:sz w:val="24"/>
          <w:szCs w:val="24"/>
        </w:rPr>
        <w:footnoteReference w:id="74"/>
      </w:r>
      <w:r w:rsidR="00080DA4">
        <w:rPr>
          <w:rFonts w:ascii="Tahoma" w:hAnsi="Tahoma" w:cs="Tahoma"/>
          <w:sz w:val="24"/>
          <w:szCs w:val="24"/>
        </w:rPr>
        <w:t xml:space="preserve">, </w:t>
      </w:r>
      <w:r w:rsidR="00296B69">
        <w:rPr>
          <w:rFonts w:ascii="Tahoma" w:hAnsi="Tahoma" w:cs="Tahoma"/>
          <w:sz w:val="24"/>
          <w:szCs w:val="24"/>
        </w:rPr>
        <w:t>LLEDÓ LLAGÜE y MONJE BALMASEDA</w:t>
      </w:r>
      <w:r w:rsidR="00263BAE">
        <w:rPr>
          <w:rStyle w:val="Refdenotaalpie"/>
          <w:rFonts w:ascii="Tahoma" w:hAnsi="Tahoma" w:cs="Tahoma"/>
          <w:sz w:val="24"/>
          <w:szCs w:val="24"/>
        </w:rPr>
        <w:footnoteReference w:id="75"/>
      </w:r>
      <w:r w:rsidR="00296B69">
        <w:rPr>
          <w:rFonts w:ascii="Tahoma" w:hAnsi="Tahoma" w:cs="Tahoma"/>
          <w:sz w:val="24"/>
          <w:szCs w:val="24"/>
        </w:rPr>
        <w:t>, CÁMARA LAPUENTE</w:t>
      </w:r>
      <w:r w:rsidR="00263BAE">
        <w:rPr>
          <w:rStyle w:val="Refdenotaalpie"/>
          <w:rFonts w:ascii="Tahoma" w:hAnsi="Tahoma" w:cs="Tahoma"/>
          <w:sz w:val="24"/>
          <w:szCs w:val="24"/>
        </w:rPr>
        <w:footnoteReference w:id="76"/>
      </w:r>
      <w:r w:rsidR="00296B69">
        <w:rPr>
          <w:rFonts w:ascii="Tahoma" w:hAnsi="Tahoma" w:cs="Tahoma"/>
          <w:sz w:val="24"/>
          <w:szCs w:val="24"/>
        </w:rPr>
        <w:t>, GARCÍA RUBIO</w:t>
      </w:r>
      <w:r w:rsidR="00263BAE">
        <w:rPr>
          <w:rStyle w:val="Refdenotaalpie"/>
          <w:rFonts w:ascii="Tahoma" w:hAnsi="Tahoma" w:cs="Tahoma"/>
          <w:sz w:val="24"/>
          <w:szCs w:val="24"/>
        </w:rPr>
        <w:footnoteReference w:id="77"/>
      </w:r>
      <w:r w:rsidR="00296B69">
        <w:rPr>
          <w:rFonts w:ascii="Tahoma" w:hAnsi="Tahoma" w:cs="Tahoma"/>
          <w:sz w:val="24"/>
          <w:szCs w:val="24"/>
        </w:rPr>
        <w:t>,</w:t>
      </w:r>
      <w:r w:rsidR="000B5B49">
        <w:rPr>
          <w:rFonts w:ascii="Tahoma" w:hAnsi="Tahoma" w:cs="Tahoma"/>
          <w:sz w:val="24"/>
          <w:szCs w:val="24"/>
        </w:rPr>
        <w:t xml:space="preserve"> CUADRADO PÉREZ</w:t>
      </w:r>
      <w:r w:rsidR="000B5B49">
        <w:rPr>
          <w:rStyle w:val="Refdenotaalpie"/>
          <w:rFonts w:ascii="Tahoma" w:hAnsi="Tahoma" w:cs="Tahoma"/>
          <w:sz w:val="24"/>
          <w:szCs w:val="24"/>
        </w:rPr>
        <w:footnoteReference w:id="78"/>
      </w:r>
      <w:r w:rsidR="000B5B49">
        <w:rPr>
          <w:rFonts w:ascii="Tahoma" w:hAnsi="Tahoma" w:cs="Tahoma"/>
          <w:sz w:val="24"/>
          <w:szCs w:val="24"/>
        </w:rPr>
        <w:t>,</w:t>
      </w:r>
      <w:r w:rsidR="00296B69">
        <w:rPr>
          <w:rFonts w:ascii="Tahoma" w:hAnsi="Tahoma" w:cs="Tahoma"/>
          <w:sz w:val="24"/>
          <w:szCs w:val="24"/>
        </w:rPr>
        <w:t xml:space="preserve"> DELGADO ECHEVARRÍA</w:t>
      </w:r>
      <w:r w:rsidR="00C55781">
        <w:rPr>
          <w:rStyle w:val="Refdenotaalpie"/>
          <w:rFonts w:ascii="Tahoma" w:hAnsi="Tahoma" w:cs="Tahoma"/>
          <w:sz w:val="24"/>
          <w:szCs w:val="24"/>
        </w:rPr>
        <w:footnoteReference w:id="79"/>
      </w:r>
      <w:r w:rsidR="00296B69">
        <w:rPr>
          <w:rFonts w:ascii="Tahoma" w:hAnsi="Tahoma" w:cs="Tahoma"/>
          <w:sz w:val="24"/>
          <w:szCs w:val="24"/>
        </w:rPr>
        <w:t xml:space="preserve">, </w:t>
      </w:r>
      <w:r w:rsidR="000B5B49">
        <w:rPr>
          <w:rFonts w:ascii="Tahoma" w:hAnsi="Tahoma" w:cs="Tahoma"/>
          <w:sz w:val="24"/>
          <w:szCs w:val="24"/>
        </w:rPr>
        <w:t>CARRIÓN OLMOS</w:t>
      </w:r>
      <w:r w:rsidR="000B5B49">
        <w:rPr>
          <w:rStyle w:val="Refdenotaalpie"/>
          <w:rFonts w:ascii="Tahoma" w:hAnsi="Tahoma" w:cs="Tahoma"/>
          <w:sz w:val="24"/>
          <w:szCs w:val="24"/>
        </w:rPr>
        <w:footnoteReference w:id="80"/>
      </w:r>
      <w:r w:rsidR="000B5B49">
        <w:rPr>
          <w:rFonts w:ascii="Tahoma" w:hAnsi="Tahoma" w:cs="Tahoma"/>
          <w:sz w:val="24"/>
          <w:szCs w:val="24"/>
        </w:rPr>
        <w:t xml:space="preserve">, </w:t>
      </w:r>
      <w:r w:rsidR="00296B69">
        <w:rPr>
          <w:rFonts w:ascii="Tahoma" w:hAnsi="Tahoma" w:cs="Tahoma"/>
          <w:sz w:val="24"/>
          <w:szCs w:val="24"/>
        </w:rPr>
        <w:t>TOR</w:t>
      </w:r>
      <w:r w:rsidR="00A17EEA">
        <w:rPr>
          <w:rFonts w:ascii="Tahoma" w:hAnsi="Tahoma" w:cs="Tahoma"/>
          <w:sz w:val="24"/>
          <w:szCs w:val="24"/>
        </w:rPr>
        <w:t>R</w:t>
      </w:r>
      <w:r w:rsidR="00296B69">
        <w:rPr>
          <w:rFonts w:ascii="Tahoma" w:hAnsi="Tahoma" w:cs="Tahoma"/>
          <w:sz w:val="24"/>
          <w:szCs w:val="24"/>
        </w:rPr>
        <w:t>ES</w:t>
      </w:r>
      <w:r w:rsidR="002E13D3">
        <w:rPr>
          <w:rFonts w:ascii="Tahoma" w:hAnsi="Tahoma" w:cs="Tahoma"/>
          <w:sz w:val="24"/>
          <w:szCs w:val="24"/>
        </w:rPr>
        <w:t xml:space="preserve"> </w:t>
      </w:r>
      <w:r w:rsidR="002E13D3">
        <w:rPr>
          <w:rFonts w:ascii="Tahoma" w:hAnsi="Tahoma" w:cs="Tahoma"/>
          <w:sz w:val="24"/>
          <w:szCs w:val="24"/>
        </w:rPr>
        <w:lastRenderedPageBreak/>
        <w:t>GARCÍA</w:t>
      </w:r>
      <w:r w:rsidR="002E13D3">
        <w:rPr>
          <w:rStyle w:val="Refdenotaalpie"/>
          <w:rFonts w:ascii="Tahoma" w:hAnsi="Tahoma" w:cs="Tahoma"/>
          <w:sz w:val="24"/>
          <w:szCs w:val="24"/>
        </w:rPr>
        <w:footnoteReference w:id="81"/>
      </w:r>
      <w:r w:rsidR="00A17EEA">
        <w:rPr>
          <w:rFonts w:ascii="Tahoma" w:hAnsi="Tahoma" w:cs="Tahoma"/>
          <w:sz w:val="24"/>
          <w:szCs w:val="24"/>
        </w:rPr>
        <w:t>, PARRA LUCÁN</w:t>
      </w:r>
      <w:r w:rsidR="00FA5A04">
        <w:rPr>
          <w:rStyle w:val="Refdenotaalpie"/>
          <w:rFonts w:ascii="Tahoma" w:hAnsi="Tahoma" w:cs="Tahoma"/>
          <w:sz w:val="24"/>
          <w:szCs w:val="24"/>
        </w:rPr>
        <w:footnoteReference w:id="82"/>
      </w:r>
      <w:r w:rsidR="00A17EEA">
        <w:rPr>
          <w:rFonts w:ascii="Tahoma" w:hAnsi="Tahoma" w:cs="Tahoma"/>
          <w:sz w:val="24"/>
          <w:szCs w:val="24"/>
        </w:rPr>
        <w:t>, VAQUER ALOY</w:t>
      </w:r>
      <w:r w:rsidR="00FA5A04">
        <w:rPr>
          <w:rStyle w:val="Refdenotaalpie"/>
          <w:rFonts w:ascii="Tahoma" w:hAnsi="Tahoma" w:cs="Tahoma"/>
          <w:sz w:val="24"/>
          <w:szCs w:val="24"/>
        </w:rPr>
        <w:footnoteReference w:id="83"/>
      </w:r>
      <w:r w:rsidR="00B56B7C">
        <w:rPr>
          <w:rFonts w:ascii="Tahoma" w:hAnsi="Tahoma" w:cs="Tahoma"/>
          <w:sz w:val="24"/>
          <w:szCs w:val="24"/>
        </w:rPr>
        <w:t>, GARCÍA GOLDAR</w:t>
      </w:r>
      <w:r w:rsidR="00B56B7C">
        <w:rPr>
          <w:rStyle w:val="Refdenotaalpie"/>
          <w:rFonts w:ascii="Tahoma" w:hAnsi="Tahoma" w:cs="Tahoma"/>
          <w:sz w:val="24"/>
          <w:szCs w:val="24"/>
        </w:rPr>
        <w:footnoteReference w:id="84"/>
      </w:r>
      <w:r w:rsidR="00B56B7C">
        <w:rPr>
          <w:rFonts w:ascii="Tahoma" w:hAnsi="Tahoma" w:cs="Tahoma"/>
          <w:sz w:val="24"/>
          <w:szCs w:val="24"/>
        </w:rPr>
        <w:t>,</w:t>
      </w:r>
      <w:r w:rsidR="00A17EEA">
        <w:rPr>
          <w:rFonts w:ascii="Tahoma" w:hAnsi="Tahoma" w:cs="Tahoma"/>
          <w:sz w:val="24"/>
          <w:szCs w:val="24"/>
        </w:rPr>
        <w:t xml:space="preserve"> </w:t>
      </w:r>
      <w:r w:rsidR="00EF0628">
        <w:rPr>
          <w:rFonts w:ascii="Tahoma" w:hAnsi="Tahoma" w:cs="Tahoma"/>
          <w:sz w:val="24"/>
          <w:szCs w:val="24"/>
        </w:rPr>
        <w:t>RUBIO GARRIDO</w:t>
      </w:r>
      <w:r w:rsidR="00DD24F6">
        <w:rPr>
          <w:rStyle w:val="Refdenotaalpie"/>
          <w:rFonts w:ascii="Tahoma" w:hAnsi="Tahoma" w:cs="Tahoma"/>
          <w:sz w:val="24"/>
          <w:szCs w:val="24"/>
        </w:rPr>
        <w:footnoteReference w:id="85"/>
      </w:r>
      <w:r w:rsidR="00EF0628">
        <w:rPr>
          <w:rFonts w:ascii="Tahoma" w:hAnsi="Tahoma" w:cs="Tahoma"/>
          <w:sz w:val="24"/>
          <w:szCs w:val="24"/>
        </w:rPr>
        <w:t xml:space="preserve"> </w:t>
      </w:r>
      <w:r w:rsidR="00D40592">
        <w:rPr>
          <w:rFonts w:ascii="Tahoma" w:hAnsi="Tahoma" w:cs="Tahoma"/>
          <w:sz w:val="24"/>
          <w:szCs w:val="24"/>
        </w:rPr>
        <w:t>o</w:t>
      </w:r>
      <w:r w:rsidR="00307A52">
        <w:rPr>
          <w:rFonts w:ascii="Tahoma" w:hAnsi="Tahoma" w:cs="Tahoma"/>
          <w:sz w:val="24"/>
          <w:szCs w:val="24"/>
        </w:rPr>
        <w:t xml:space="preserve"> VIVES VELO DE ANTELO</w:t>
      </w:r>
      <w:r w:rsidR="007D6EE8">
        <w:rPr>
          <w:rStyle w:val="Refdenotaalpie"/>
          <w:rFonts w:ascii="Tahoma" w:hAnsi="Tahoma" w:cs="Tahoma"/>
          <w:sz w:val="24"/>
          <w:szCs w:val="24"/>
        </w:rPr>
        <w:footnoteReference w:id="86"/>
      </w:r>
      <w:r w:rsidR="00307A52">
        <w:rPr>
          <w:rFonts w:ascii="Tahoma" w:hAnsi="Tahoma" w:cs="Tahoma"/>
          <w:sz w:val="24"/>
          <w:szCs w:val="24"/>
        </w:rPr>
        <w:t>.</w:t>
      </w:r>
      <w:r w:rsidR="00514A0A">
        <w:rPr>
          <w:rFonts w:ascii="Tahoma" w:hAnsi="Tahoma" w:cs="Tahoma"/>
          <w:sz w:val="24"/>
          <w:szCs w:val="24"/>
        </w:rPr>
        <w:t xml:space="preserve"> </w:t>
      </w:r>
    </w:p>
    <w:p w14:paraId="0E9C6F49" w14:textId="1D2F5D95" w:rsidR="00CD19E1" w:rsidRDefault="00514A0A" w:rsidP="00DB373E">
      <w:pPr>
        <w:spacing w:line="360" w:lineRule="auto"/>
        <w:ind w:firstLine="708"/>
        <w:jc w:val="both"/>
        <w:rPr>
          <w:rFonts w:ascii="Tahoma" w:hAnsi="Tahoma" w:cs="Tahoma"/>
          <w:sz w:val="24"/>
          <w:szCs w:val="24"/>
        </w:rPr>
      </w:pPr>
      <w:r>
        <w:rPr>
          <w:rFonts w:ascii="Tahoma" w:hAnsi="Tahoma" w:cs="Tahoma"/>
          <w:sz w:val="24"/>
          <w:szCs w:val="24"/>
        </w:rPr>
        <w:t>En una posición minoritaria, podemos citar al Catedrático ESPEJO LERDO DE TEJADA, quien rechaza cualquier propuesta de reforma de las legítimas</w:t>
      </w:r>
      <w:r w:rsidR="007D6EE8">
        <w:rPr>
          <w:rStyle w:val="Refdenotaalpie"/>
          <w:rFonts w:ascii="Tahoma" w:hAnsi="Tahoma" w:cs="Tahoma"/>
          <w:sz w:val="24"/>
          <w:szCs w:val="24"/>
        </w:rPr>
        <w:footnoteReference w:id="87"/>
      </w:r>
      <w:r>
        <w:rPr>
          <w:rFonts w:ascii="Tahoma" w:hAnsi="Tahoma" w:cs="Tahoma"/>
          <w:sz w:val="24"/>
          <w:szCs w:val="24"/>
        </w:rPr>
        <w:t>.</w:t>
      </w:r>
      <w:r w:rsidR="008F7C9C">
        <w:rPr>
          <w:rFonts w:ascii="Tahoma" w:hAnsi="Tahoma" w:cs="Tahoma"/>
          <w:sz w:val="24"/>
          <w:szCs w:val="24"/>
        </w:rPr>
        <w:t xml:space="preserve"> También partidario del mantenimiento de las legítimas es BERNAD MAINAR</w:t>
      </w:r>
      <w:r w:rsidR="008F7C9C">
        <w:rPr>
          <w:rStyle w:val="Refdenotaalpie"/>
          <w:rFonts w:ascii="Tahoma" w:hAnsi="Tahoma" w:cs="Tahoma"/>
          <w:sz w:val="24"/>
          <w:szCs w:val="24"/>
        </w:rPr>
        <w:footnoteReference w:id="88"/>
      </w:r>
      <w:r w:rsidR="008F7C9C">
        <w:rPr>
          <w:rFonts w:ascii="Tahoma" w:hAnsi="Tahoma" w:cs="Tahoma"/>
          <w:sz w:val="24"/>
          <w:szCs w:val="24"/>
        </w:rPr>
        <w:t>, quien, a lo sumo, defiende la exclusión de la vivienda familiar de la porción de legítima.</w:t>
      </w:r>
    </w:p>
    <w:p w14:paraId="1A7F00F3" w14:textId="2E052ED6" w:rsidR="00CE4347" w:rsidRDefault="00CE4347" w:rsidP="00DB373E">
      <w:pPr>
        <w:spacing w:line="360" w:lineRule="auto"/>
        <w:ind w:firstLine="708"/>
        <w:jc w:val="both"/>
        <w:rPr>
          <w:rFonts w:ascii="Tahoma" w:hAnsi="Tahoma" w:cs="Tahoma"/>
          <w:sz w:val="24"/>
          <w:szCs w:val="24"/>
        </w:rPr>
      </w:pPr>
      <w:r>
        <w:rPr>
          <w:rFonts w:ascii="Tahoma" w:hAnsi="Tahoma" w:cs="Tahoma"/>
          <w:sz w:val="24"/>
          <w:szCs w:val="24"/>
        </w:rPr>
        <w:t xml:space="preserve">Cabe destacar, como iniciativa legislativa en nuestro país, </w:t>
      </w:r>
      <w:r w:rsidRPr="006E653A">
        <w:rPr>
          <w:rFonts w:ascii="Tahoma" w:hAnsi="Tahoma" w:cs="Tahoma"/>
          <w:i/>
          <w:iCs/>
          <w:sz w:val="24"/>
          <w:szCs w:val="24"/>
        </w:rPr>
        <w:t xml:space="preserve">el frustrado Anteproyecto de Ley de Sucesiones </w:t>
      </w:r>
      <w:r w:rsidR="006E653A">
        <w:rPr>
          <w:rFonts w:ascii="Tahoma" w:hAnsi="Tahoma" w:cs="Tahoma"/>
          <w:i/>
          <w:iCs/>
          <w:sz w:val="24"/>
          <w:szCs w:val="24"/>
        </w:rPr>
        <w:t>V</w:t>
      </w:r>
      <w:r w:rsidRPr="006E653A">
        <w:rPr>
          <w:rFonts w:ascii="Tahoma" w:hAnsi="Tahoma" w:cs="Tahoma"/>
          <w:i/>
          <w:iCs/>
          <w:sz w:val="24"/>
          <w:szCs w:val="24"/>
        </w:rPr>
        <w:t>alenciano de 2009</w:t>
      </w:r>
      <w:r w:rsidR="00C7187E">
        <w:rPr>
          <w:rStyle w:val="Refdenotaalpie"/>
          <w:rFonts w:ascii="Tahoma" w:hAnsi="Tahoma" w:cs="Tahoma"/>
          <w:sz w:val="24"/>
          <w:szCs w:val="24"/>
        </w:rPr>
        <w:footnoteReference w:id="89"/>
      </w:r>
      <w:r w:rsidR="00E63C81">
        <w:rPr>
          <w:rFonts w:ascii="Tahoma" w:hAnsi="Tahoma" w:cs="Tahoma"/>
          <w:sz w:val="24"/>
          <w:szCs w:val="24"/>
        </w:rPr>
        <w:t xml:space="preserve">, cuyas más destacadas características en cuanto al sistema de legítimas eran las siguientes: </w:t>
      </w:r>
      <w:r w:rsidR="00E63C81">
        <w:rPr>
          <w:rFonts w:ascii="Tahoma" w:hAnsi="Tahoma" w:cs="Tahoma"/>
          <w:sz w:val="24"/>
          <w:szCs w:val="24"/>
        </w:rPr>
        <w:lastRenderedPageBreak/>
        <w:t>configuración como derecho de crédito; reconocimiento de la condición de legitimarios a los hijos y descendientes, a los padres -pero no a los otros ascendientes- y al cónyuge o conviviente estable; fijación de</w:t>
      </w:r>
      <w:r w:rsidR="00D40592">
        <w:rPr>
          <w:rFonts w:ascii="Tahoma" w:hAnsi="Tahoma" w:cs="Tahoma"/>
          <w:sz w:val="24"/>
          <w:szCs w:val="24"/>
        </w:rPr>
        <w:t xml:space="preserve"> la legítima</w:t>
      </w:r>
      <w:r w:rsidR="00E63C81">
        <w:rPr>
          <w:rFonts w:ascii="Tahoma" w:hAnsi="Tahoma" w:cs="Tahoma"/>
          <w:sz w:val="24"/>
          <w:szCs w:val="24"/>
        </w:rPr>
        <w:t xml:space="preserve"> los descendientes en cuantía variable: de una cuarta parte, si el número de hijos e</w:t>
      </w:r>
      <w:r w:rsidR="006E653A">
        <w:rPr>
          <w:rFonts w:ascii="Tahoma" w:hAnsi="Tahoma" w:cs="Tahoma"/>
          <w:sz w:val="24"/>
          <w:szCs w:val="24"/>
        </w:rPr>
        <w:t>ra</w:t>
      </w:r>
      <w:r w:rsidR="00E63C81">
        <w:rPr>
          <w:rFonts w:ascii="Tahoma" w:hAnsi="Tahoma" w:cs="Tahoma"/>
          <w:sz w:val="24"/>
          <w:szCs w:val="24"/>
        </w:rPr>
        <w:t xml:space="preserve"> uno o dos; y de un tercio, si el número de hijos e</w:t>
      </w:r>
      <w:r w:rsidR="006E653A">
        <w:rPr>
          <w:rFonts w:ascii="Tahoma" w:hAnsi="Tahoma" w:cs="Tahoma"/>
          <w:sz w:val="24"/>
          <w:szCs w:val="24"/>
        </w:rPr>
        <w:t>ra</w:t>
      </w:r>
      <w:r w:rsidR="00E63C81">
        <w:rPr>
          <w:rFonts w:ascii="Tahoma" w:hAnsi="Tahoma" w:cs="Tahoma"/>
          <w:sz w:val="24"/>
          <w:szCs w:val="24"/>
        </w:rPr>
        <w:t xml:space="preserve"> de tres o más; la legítima de los progenitores consist</w:t>
      </w:r>
      <w:r w:rsidR="006E653A">
        <w:rPr>
          <w:rFonts w:ascii="Tahoma" w:hAnsi="Tahoma" w:cs="Tahoma"/>
          <w:sz w:val="24"/>
          <w:szCs w:val="24"/>
        </w:rPr>
        <w:t>ía</w:t>
      </w:r>
      <w:r w:rsidR="00E63C81">
        <w:rPr>
          <w:rFonts w:ascii="Tahoma" w:hAnsi="Tahoma" w:cs="Tahoma"/>
          <w:sz w:val="24"/>
          <w:szCs w:val="24"/>
        </w:rPr>
        <w:t xml:space="preserve"> en el derecho a recibir alimentos con cargo a la herencia, en caso de necesidad, con arreglo a la cuantía y medios de la misma y a las necesidades de aquellos; al cónyuge o pareja de hecho supérstite se le reconoc</w:t>
      </w:r>
      <w:r w:rsidR="006E653A">
        <w:rPr>
          <w:rFonts w:ascii="Tahoma" w:hAnsi="Tahoma" w:cs="Tahoma"/>
          <w:sz w:val="24"/>
          <w:szCs w:val="24"/>
        </w:rPr>
        <w:t>ía</w:t>
      </w:r>
      <w:r w:rsidR="00E63C81">
        <w:rPr>
          <w:rFonts w:ascii="Tahoma" w:hAnsi="Tahoma" w:cs="Tahoma"/>
          <w:sz w:val="24"/>
          <w:szCs w:val="24"/>
        </w:rPr>
        <w:t xml:space="preserve"> un derecho legitimario a mantener un nivel de vida equivalente al que tuvo durante su matrimonio con el causante, que se </w:t>
      </w:r>
      <w:r w:rsidR="00844E41">
        <w:rPr>
          <w:rFonts w:ascii="Tahoma" w:hAnsi="Tahoma" w:cs="Tahoma"/>
          <w:sz w:val="24"/>
          <w:szCs w:val="24"/>
        </w:rPr>
        <w:t>concretaba</w:t>
      </w:r>
      <w:r w:rsidR="00E63C81">
        <w:rPr>
          <w:rFonts w:ascii="Tahoma" w:hAnsi="Tahoma" w:cs="Tahoma"/>
          <w:sz w:val="24"/>
          <w:szCs w:val="24"/>
        </w:rPr>
        <w:t xml:space="preserve"> en un usufructo sobre bienes de la herencia, con un límite equivalente al tercio del valor del patrimonio relicto computable, admitiéndose su conmutación a criterio de los nudo propietarios.</w:t>
      </w:r>
    </w:p>
    <w:p w14:paraId="05A91E5B" w14:textId="7E96980B" w:rsidR="002264CD" w:rsidRDefault="002264CD" w:rsidP="00DB373E">
      <w:pPr>
        <w:spacing w:line="360" w:lineRule="auto"/>
        <w:ind w:firstLine="708"/>
        <w:jc w:val="both"/>
        <w:rPr>
          <w:rFonts w:ascii="Tahoma" w:hAnsi="Tahoma" w:cs="Tahoma"/>
          <w:sz w:val="24"/>
          <w:szCs w:val="24"/>
        </w:rPr>
      </w:pPr>
      <w:r>
        <w:rPr>
          <w:rFonts w:ascii="Tahoma" w:hAnsi="Tahoma" w:cs="Tahoma"/>
          <w:sz w:val="24"/>
          <w:szCs w:val="24"/>
        </w:rPr>
        <w:t xml:space="preserve">Reseñable es también </w:t>
      </w:r>
      <w:r w:rsidRPr="00844E41">
        <w:rPr>
          <w:rFonts w:ascii="Tahoma" w:hAnsi="Tahoma" w:cs="Tahoma"/>
          <w:i/>
          <w:iCs/>
          <w:sz w:val="24"/>
          <w:szCs w:val="24"/>
        </w:rPr>
        <w:t>la propuesta de Código Civil, publicada en el año 2018, por la Asociación de profesores de Derecho Civil</w:t>
      </w:r>
      <w:r w:rsidR="001C0CC5">
        <w:rPr>
          <w:rStyle w:val="Refdenotaalpie"/>
          <w:rFonts w:ascii="Tahoma" w:hAnsi="Tahoma" w:cs="Tahoma"/>
          <w:sz w:val="24"/>
          <w:szCs w:val="24"/>
        </w:rPr>
        <w:footnoteReference w:id="90"/>
      </w:r>
      <w:r>
        <w:rPr>
          <w:rFonts w:ascii="Tahoma" w:hAnsi="Tahoma" w:cs="Tahoma"/>
          <w:sz w:val="24"/>
          <w:szCs w:val="24"/>
        </w:rPr>
        <w:t xml:space="preserve">: </w:t>
      </w:r>
      <w:r w:rsidR="00BE55C6">
        <w:rPr>
          <w:rFonts w:ascii="Tahoma" w:hAnsi="Tahoma" w:cs="Tahoma"/>
          <w:sz w:val="24"/>
          <w:szCs w:val="24"/>
        </w:rPr>
        <w:t xml:space="preserve">mantiene la legítima como porción de bienes, si bien admite que el testador autorice a cualquier heredero a realizar el pago </w:t>
      </w:r>
      <w:r w:rsidR="00ED459E">
        <w:rPr>
          <w:rFonts w:ascii="Tahoma" w:hAnsi="Tahoma" w:cs="Tahoma"/>
          <w:sz w:val="24"/>
          <w:szCs w:val="24"/>
        </w:rPr>
        <w:t>d</w:t>
      </w:r>
      <w:r w:rsidR="00BE55C6">
        <w:rPr>
          <w:rFonts w:ascii="Tahoma" w:hAnsi="Tahoma" w:cs="Tahoma"/>
          <w:sz w:val="24"/>
          <w:szCs w:val="24"/>
        </w:rPr>
        <w:t>e la legítima con dinero extra hereditario en las condiciones y plazos establecidos, pudiendo proceder a la consignación de tal cantidad en caso de que el legitimario esté conforme con la liquidación efectuada; la legítima de los descendientes se reduce, pasando a la mitad del haber hereditario, pudiendo el causante destinar una cuarta parte como mejora; en el caso de haber un solo hijo, la legítima se reduce a un tercio</w:t>
      </w:r>
      <w:r w:rsidR="00301A7B">
        <w:rPr>
          <w:rFonts w:ascii="Tahoma" w:hAnsi="Tahoma" w:cs="Tahoma"/>
          <w:sz w:val="24"/>
          <w:szCs w:val="24"/>
        </w:rPr>
        <w:t>; se prevé la posibilidad de asignar al cónyuge viudo</w:t>
      </w:r>
      <w:r w:rsidR="00301A7B">
        <w:rPr>
          <w:rStyle w:val="Refdenotaalpie"/>
          <w:rFonts w:ascii="Tahoma" w:hAnsi="Tahoma" w:cs="Tahoma"/>
          <w:sz w:val="24"/>
          <w:szCs w:val="24"/>
        </w:rPr>
        <w:footnoteReference w:id="91"/>
      </w:r>
      <w:r w:rsidR="00301A7B">
        <w:rPr>
          <w:rFonts w:ascii="Tahoma" w:hAnsi="Tahoma" w:cs="Tahoma"/>
          <w:sz w:val="24"/>
          <w:szCs w:val="24"/>
        </w:rPr>
        <w:t xml:space="preserve"> el usufructo universal, incluso gravando la legítima de los descendientes; limita la computación de las donaciones a las realizadas en los últimos veinte años; establece la posibilidad de gravar la legítima de los descendientes con un usufructo universal a favor de un hijo o descendiente con discapacidad; sustituye, como causa de desheredación, el “maltrato de obra” por la expresión “haber maltratado gravemente”.</w:t>
      </w:r>
    </w:p>
    <w:p w14:paraId="1F4F7FF3" w14:textId="2844FC8E" w:rsidR="00301A7B" w:rsidRDefault="002C12D3" w:rsidP="00DB373E">
      <w:pPr>
        <w:spacing w:line="360" w:lineRule="auto"/>
        <w:ind w:firstLine="708"/>
        <w:jc w:val="both"/>
        <w:rPr>
          <w:rFonts w:ascii="Tahoma" w:hAnsi="Tahoma" w:cs="Tahoma"/>
          <w:sz w:val="24"/>
          <w:szCs w:val="24"/>
        </w:rPr>
      </w:pPr>
      <w:r>
        <w:rPr>
          <w:rFonts w:ascii="Tahoma" w:hAnsi="Tahoma" w:cs="Tahoma"/>
          <w:sz w:val="24"/>
          <w:szCs w:val="24"/>
        </w:rPr>
        <w:lastRenderedPageBreak/>
        <w:t xml:space="preserve">Por su parte, </w:t>
      </w:r>
      <w:r w:rsidRPr="00ED459E">
        <w:rPr>
          <w:rFonts w:ascii="Tahoma" w:hAnsi="Tahoma" w:cs="Tahoma"/>
          <w:i/>
          <w:iCs/>
          <w:sz w:val="24"/>
          <w:szCs w:val="24"/>
        </w:rPr>
        <w:t xml:space="preserve">el Anteproyecto de Ley de actualización, incorporación y modificación del Código Civil de Cataluña, aprobado el 30 de noviembre de 2022, </w:t>
      </w:r>
      <w:r>
        <w:rPr>
          <w:rFonts w:ascii="Tahoma" w:hAnsi="Tahoma" w:cs="Tahoma"/>
          <w:sz w:val="24"/>
          <w:szCs w:val="24"/>
        </w:rPr>
        <w:t xml:space="preserve">introduce como causa de desheredación el maltrato de carácter psicológico, invirtiendo la carga de la prueba para el supuesto en que se impugne una desheredación por ausencia de relación familiar entre la persona causante y la legitimaria; reduce el plazo de prescripción para reclamar la legítima de diez a cuatro años; </w:t>
      </w:r>
      <w:r w:rsidR="003E45B7">
        <w:rPr>
          <w:rFonts w:ascii="Tahoma" w:hAnsi="Tahoma" w:cs="Tahoma"/>
          <w:sz w:val="24"/>
          <w:szCs w:val="24"/>
        </w:rPr>
        <w:t xml:space="preserve">y </w:t>
      </w:r>
      <w:r>
        <w:rPr>
          <w:rFonts w:ascii="Tahoma" w:hAnsi="Tahoma" w:cs="Tahoma"/>
          <w:sz w:val="24"/>
          <w:szCs w:val="24"/>
        </w:rPr>
        <w:t>se reconoce al heredero la posibilidad de pagar la legítima de los progenitores en dinero.</w:t>
      </w:r>
    </w:p>
    <w:p w14:paraId="4A3D1D40" w14:textId="36540DEC" w:rsidR="00ED459E" w:rsidRPr="00ED459E" w:rsidRDefault="00ED459E" w:rsidP="00ED459E">
      <w:pPr>
        <w:pStyle w:val="Prrafodelista"/>
        <w:numPr>
          <w:ilvl w:val="0"/>
          <w:numId w:val="3"/>
        </w:numPr>
        <w:spacing w:line="360" w:lineRule="auto"/>
        <w:jc w:val="both"/>
        <w:rPr>
          <w:rFonts w:ascii="Tahoma" w:hAnsi="Tahoma" w:cs="Tahoma"/>
          <w:b/>
          <w:bCs/>
          <w:sz w:val="24"/>
          <w:szCs w:val="24"/>
        </w:rPr>
      </w:pPr>
      <w:r w:rsidRPr="00ED459E">
        <w:rPr>
          <w:rFonts w:ascii="Tahoma" w:hAnsi="Tahoma" w:cs="Tahoma"/>
          <w:b/>
          <w:bCs/>
          <w:sz w:val="24"/>
          <w:szCs w:val="24"/>
        </w:rPr>
        <w:t>Situación actual.</w:t>
      </w:r>
    </w:p>
    <w:p w14:paraId="6A63B98F" w14:textId="77777777" w:rsidR="00D40592" w:rsidRDefault="002C12D3" w:rsidP="00DB373E">
      <w:pPr>
        <w:spacing w:line="360" w:lineRule="auto"/>
        <w:ind w:firstLine="708"/>
        <w:jc w:val="both"/>
        <w:rPr>
          <w:rFonts w:ascii="Tahoma" w:hAnsi="Tahoma" w:cs="Tahoma"/>
          <w:sz w:val="24"/>
          <w:szCs w:val="24"/>
        </w:rPr>
      </w:pPr>
      <w:r>
        <w:rPr>
          <w:rFonts w:ascii="Tahoma" w:hAnsi="Tahoma" w:cs="Tahoma"/>
          <w:sz w:val="24"/>
          <w:szCs w:val="24"/>
        </w:rPr>
        <w:t>Antes de pasar a las conclusiones</w:t>
      </w:r>
      <w:r w:rsidR="00DD3CC0">
        <w:rPr>
          <w:rFonts w:ascii="Tahoma" w:hAnsi="Tahoma" w:cs="Tahoma"/>
          <w:sz w:val="24"/>
          <w:szCs w:val="24"/>
        </w:rPr>
        <w:t xml:space="preserve"> y reflexiones personales</w:t>
      </w:r>
      <w:r>
        <w:rPr>
          <w:rFonts w:ascii="Tahoma" w:hAnsi="Tahoma" w:cs="Tahoma"/>
          <w:sz w:val="24"/>
          <w:szCs w:val="24"/>
        </w:rPr>
        <w:t>, hay que</w:t>
      </w:r>
      <w:r w:rsidR="00DD3CC0">
        <w:rPr>
          <w:rFonts w:ascii="Tahoma" w:hAnsi="Tahoma" w:cs="Tahoma"/>
          <w:sz w:val="24"/>
          <w:szCs w:val="24"/>
        </w:rPr>
        <w:t xml:space="preserve"> destacar que la reforma del sistema legitimario del Código Civil español ya está en marcha.</w:t>
      </w:r>
    </w:p>
    <w:p w14:paraId="2DCA81DE" w14:textId="17E29466" w:rsidR="002C12D3" w:rsidRDefault="00DD3CC0" w:rsidP="00DB373E">
      <w:pPr>
        <w:spacing w:line="360" w:lineRule="auto"/>
        <w:ind w:firstLine="708"/>
        <w:jc w:val="both"/>
        <w:rPr>
          <w:rFonts w:ascii="Tahoma" w:hAnsi="Tahoma" w:cs="Tahoma"/>
          <w:sz w:val="24"/>
          <w:szCs w:val="24"/>
        </w:rPr>
      </w:pPr>
      <w:r>
        <w:rPr>
          <w:rFonts w:ascii="Tahoma" w:hAnsi="Tahoma" w:cs="Tahoma"/>
          <w:sz w:val="24"/>
          <w:szCs w:val="24"/>
        </w:rPr>
        <w:t xml:space="preserve"> La</w:t>
      </w:r>
      <w:r w:rsidR="002C12D3">
        <w:rPr>
          <w:rFonts w:ascii="Tahoma" w:hAnsi="Tahoma" w:cs="Tahoma"/>
          <w:sz w:val="24"/>
          <w:szCs w:val="24"/>
        </w:rPr>
        <w:t xml:space="preserve"> </w:t>
      </w:r>
      <w:r w:rsidR="002C12D3" w:rsidRPr="00E7045F">
        <w:rPr>
          <w:rFonts w:ascii="Tahoma" w:hAnsi="Tahoma" w:cs="Tahoma"/>
          <w:i/>
          <w:iCs/>
          <w:sz w:val="24"/>
          <w:szCs w:val="24"/>
        </w:rPr>
        <w:t>Orden de 4 de febrero de 2019, del Ministerio de Justicia,</w:t>
      </w:r>
      <w:r w:rsidR="002C12D3">
        <w:rPr>
          <w:rFonts w:ascii="Tahoma" w:hAnsi="Tahoma" w:cs="Tahoma"/>
          <w:sz w:val="24"/>
          <w:szCs w:val="24"/>
        </w:rPr>
        <w:t xml:space="preserve"> encomendó a la Sección de Derecho Civil de la Comisión General de Codificación el estudio de los regímenes sucesorios de legítimas y libertad de testar.</w:t>
      </w:r>
      <w:r w:rsidR="00024687">
        <w:rPr>
          <w:rFonts w:ascii="Tahoma" w:hAnsi="Tahoma" w:cs="Tahoma"/>
          <w:sz w:val="24"/>
          <w:szCs w:val="24"/>
        </w:rPr>
        <w:t xml:space="preserve"> Se encargó a dicha Sección la elaboración de un informe en el que se analice, separadamente, lo que se considere favorable y adverso al régimen sucesorio de legítimas y al régimen sucesorio de libertad de testar</w:t>
      </w:r>
      <w:r w:rsidR="00490DCA">
        <w:rPr>
          <w:rStyle w:val="Refdenotaalpie"/>
          <w:rFonts w:ascii="Tahoma" w:hAnsi="Tahoma" w:cs="Tahoma"/>
          <w:sz w:val="24"/>
          <w:szCs w:val="24"/>
        </w:rPr>
        <w:footnoteReference w:id="92"/>
      </w:r>
      <w:r w:rsidR="00024687">
        <w:rPr>
          <w:rFonts w:ascii="Tahoma" w:hAnsi="Tahoma" w:cs="Tahoma"/>
          <w:sz w:val="24"/>
          <w:szCs w:val="24"/>
        </w:rPr>
        <w:t>, incluyendo en anexo sendos estudios sobre la evolución histórica del régimen sucesorio en Derecho común y en los territorios con Derecho civil especial, así como sobre las tendencias de Derecho comparado en países con tradiciones jurídicas próximas a la nuestra, pudiendo incorporar el informe sendas propuestas, de modo que, se escoja una u otra, esté disponible un texto articulado a partir del cual impulsar, si procede, una futura reforma.</w:t>
      </w:r>
    </w:p>
    <w:p w14:paraId="644C01C1" w14:textId="5C4CD14C" w:rsidR="00486BC7" w:rsidRDefault="00486BC7" w:rsidP="00DB373E">
      <w:pPr>
        <w:spacing w:line="360" w:lineRule="auto"/>
        <w:ind w:firstLine="708"/>
        <w:jc w:val="both"/>
        <w:rPr>
          <w:rFonts w:ascii="Tahoma" w:hAnsi="Tahoma" w:cs="Tahoma"/>
          <w:sz w:val="24"/>
          <w:szCs w:val="24"/>
        </w:rPr>
      </w:pPr>
      <w:r>
        <w:rPr>
          <w:rFonts w:ascii="Tahoma" w:hAnsi="Tahoma" w:cs="Tahoma"/>
          <w:sz w:val="24"/>
          <w:szCs w:val="24"/>
        </w:rPr>
        <w:t xml:space="preserve">Es increíble que, más de un siglo después del debate previo a la codificación, se reedite, impulsado directamente por el propio Ministerio de </w:t>
      </w:r>
      <w:r>
        <w:rPr>
          <w:rFonts w:ascii="Tahoma" w:hAnsi="Tahoma" w:cs="Tahoma"/>
          <w:sz w:val="24"/>
          <w:szCs w:val="24"/>
        </w:rPr>
        <w:lastRenderedPageBreak/>
        <w:t xml:space="preserve">Justicia, en una especie de </w:t>
      </w:r>
      <w:r w:rsidRPr="00486BC7">
        <w:rPr>
          <w:rFonts w:ascii="Tahoma" w:hAnsi="Tahoma" w:cs="Tahoma"/>
          <w:i/>
          <w:iCs/>
          <w:sz w:val="24"/>
          <w:szCs w:val="24"/>
        </w:rPr>
        <w:t>déjà vu</w:t>
      </w:r>
      <w:r>
        <w:rPr>
          <w:rFonts w:ascii="Tahoma" w:hAnsi="Tahoma" w:cs="Tahoma"/>
          <w:sz w:val="24"/>
          <w:szCs w:val="24"/>
        </w:rPr>
        <w:t>, el viejo debate sobre el mantenimiento de las legítimas y la libertad de testar en el Derecho Civil común.</w:t>
      </w:r>
    </w:p>
    <w:p w14:paraId="28008A31" w14:textId="77777777" w:rsidR="00D40592" w:rsidRDefault="00486BC7" w:rsidP="00DB373E">
      <w:pPr>
        <w:spacing w:line="360" w:lineRule="auto"/>
        <w:ind w:firstLine="708"/>
        <w:jc w:val="both"/>
        <w:rPr>
          <w:rFonts w:ascii="Tahoma" w:hAnsi="Tahoma" w:cs="Tahoma"/>
          <w:sz w:val="24"/>
          <w:szCs w:val="24"/>
        </w:rPr>
      </w:pPr>
      <w:r>
        <w:rPr>
          <w:rFonts w:ascii="Tahoma" w:hAnsi="Tahoma" w:cs="Tahoma"/>
          <w:sz w:val="24"/>
          <w:szCs w:val="24"/>
        </w:rPr>
        <w:t xml:space="preserve">Aunque el informe tenía que haberse entregado el 28 de febrero de 2020, dicho informe se entregó al Ministerio en el último trimestre de 2022 y, aunque todavía es pronto para conocer el posible alcance </w:t>
      </w:r>
      <w:r w:rsidR="00D40592">
        <w:rPr>
          <w:rFonts w:ascii="Tahoma" w:hAnsi="Tahoma" w:cs="Tahoma"/>
          <w:sz w:val="24"/>
          <w:szCs w:val="24"/>
        </w:rPr>
        <w:t>de</w:t>
      </w:r>
      <w:r>
        <w:rPr>
          <w:rFonts w:ascii="Tahoma" w:hAnsi="Tahoma" w:cs="Tahoma"/>
          <w:sz w:val="24"/>
          <w:szCs w:val="24"/>
        </w:rPr>
        <w:t xml:space="preserve"> este informe y la propuesta de reforma</w:t>
      </w:r>
      <w:r w:rsidR="007C180D">
        <w:rPr>
          <w:rFonts w:ascii="Tahoma" w:hAnsi="Tahoma" w:cs="Tahoma"/>
          <w:sz w:val="24"/>
          <w:szCs w:val="24"/>
        </w:rPr>
        <w:t>, se puede observar, como señala Jésica DELGADO-SÁEZ</w:t>
      </w:r>
      <w:r w:rsidR="007922DE">
        <w:rPr>
          <w:rStyle w:val="Refdenotaalpie"/>
          <w:rFonts w:ascii="Tahoma" w:hAnsi="Tahoma" w:cs="Tahoma"/>
          <w:sz w:val="24"/>
          <w:szCs w:val="24"/>
        </w:rPr>
        <w:footnoteReference w:id="93"/>
      </w:r>
      <w:r w:rsidR="007C180D">
        <w:rPr>
          <w:rFonts w:ascii="Tahoma" w:hAnsi="Tahoma" w:cs="Tahoma"/>
          <w:sz w:val="24"/>
          <w:szCs w:val="24"/>
        </w:rPr>
        <w:t xml:space="preserve">, que se sigue optando por “parchear” el Código </w:t>
      </w:r>
      <w:r w:rsidR="00914A04">
        <w:rPr>
          <w:rFonts w:ascii="Tahoma" w:hAnsi="Tahoma" w:cs="Tahoma"/>
          <w:sz w:val="24"/>
          <w:szCs w:val="24"/>
        </w:rPr>
        <w:t>C</w:t>
      </w:r>
      <w:r w:rsidR="007C180D">
        <w:rPr>
          <w:rFonts w:ascii="Tahoma" w:hAnsi="Tahoma" w:cs="Tahoma"/>
          <w:sz w:val="24"/>
          <w:szCs w:val="24"/>
        </w:rPr>
        <w:t>ivil en vez de acometer una reforma integral o una recodificación de éste.</w:t>
      </w:r>
      <w:r w:rsidR="007922DE">
        <w:rPr>
          <w:rFonts w:ascii="Tahoma" w:hAnsi="Tahoma" w:cs="Tahoma"/>
          <w:sz w:val="24"/>
          <w:szCs w:val="24"/>
        </w:rPr>
        <w:t xml:space="preserve">  </w:t>
      </w:r>
    </w:p>
    <w:p w14:paraId="2AEA8031" w14:textId="611CC6B9" w:rsidR="00486BC7" w:rsidRDefault="007922DE" w:rsidP="00DB373E">
      <w:pPr>
        <w:spacing w:line="360" w:lineRule="auto"/>
        <w:ind w:firstLine="708"/>
        <w:jc w:val="both"/>
        <w:rPr>
          <w:rFonts w:ascii="Tahoma" w:hAnsi="Tahoma" w:cs="Tahoma"/>
          <w:sz w:val="24"/>
          <w:szCs w:val="24"/>
        </w:rPr>
      </w:pPr>
      <w:r>
        <w:rPr>
          <w:rFonts w:ascii="Tahoma" w:hAnsi="Tahoma" w:cs="Tahoma"/>
          <w:sz w:val="24"/>
          <w:szCs w:val="24"/>
        </w:rPr>
        <w:t>Parece, como ha señalado María Elena SÁNCHEZ JORDÁN</w:t>
      </w:r>
      <w:r>
        <w:rPr>
          <w:rStyle w:val="Refdenotaalpie"/>
          <w:rFonts w:ascii="Tahoma" w:hAnsi="Tahoma" w:cs="Tahoma"/>
          <w:sz w:val="24"/>
          <w:szCs w:val="24"/>
        </w:rPr>
        <w:footnoteReference w:id="94"/>
      </w:r>
      <w:r>
        <w:rPr>
          <w:rFonts w:ascii="Tahoma" w:hAnsi="Tahoma" w:cs="Tahoma"/>
          <w:sz w:val="24"/>
          <w:szCs w:val="24"/>
        </w:rPr>
        <w:t>, miembro de la Comisión General de Codificación, que la posición que triunfará es la que aboga por una modificación del sistema, reduciendo la parte que obligatoriamente se ha de dejar a los hijos y descendientes</w:t>
      </w:r>
      <w:r w:rsidR="00CA3EB4">
        <w:rPr>
          <w:rFonts w:ascii="Tahoma" w:hAnsi="Tahoma" w:cs="Tahoma"/>
          <w:sz w:val="24"/>
          <w:szCs w:val="24"/>
        </w:rPr>
        <w:t xml:space="preserve"> y</w:t>
      </w:r>
      <w:r>
        <w:rPr>
          <w:rFonts w:ascii="Tahoma" w:hAnsi="Tahoma" w:cs="Tahoma"/>
          <w:sz w:val="24"/>
          <w:szCs w:val="24"/>
        </w:rPr>
        <w:t xml:space="preserve"> flexibilizando también las causas de desheredación.</w:t>
      </w:r>
    </w:p>
    <w:p w14:paraId="7C3008CF" w14:textId="44766602" w:rsidR="00FC3E79" w:rsidRPr="00914A04" w:rsidRDefault="00914A04" w:rsidP="00914A04">
      <w:pPr>
        <w:pStyle w:val="Prrafodelista"/>
        <w:numPr>
          <w:ilvl w:val="0"/>
          <w:numId w:val="3"/>
        </w:numPr>
        <w:spacing w:line="360" w:lineRule="auto"/>
        <w:jc w:val="both"/>
        <w:rPr>
          <w:rFonts w:ascii="Tahoma" w:hAnsi="Tahoma" w:cs="Tahoma"/>
          <w:sz w:val="24"/>
          <w:szCs w:val="24"/>
        </w:rPr>
      </w:pPr>
      <w:r>
        <w:rPr>
          <w:rFonts w:ascii="Tahoma" w:hAnsi="Tahoma" w:cs="Tahoma"/>
          <w:b/>
          <w:bCs/>
          <w:sz w:val="24"/>
          <w:szCs w:val="24"/>
        </w:rPr>
        <w:t xml:space="preserve"> </w:t>
      </w:r>
      <w:r w:rsidR="00FC3E79" w:rsidRPr="00914A04">
        <w:rPr>
          <w:rFonts w:ascii="Tahoma" w:hAnsi="Tahoma" w:cs="Tahoma"/>
          <w:b/>
          <w:bCs/>
          <w:sz w:val="24"/>
          <w:szCs w:val="24"/>
        </w:rPr>
        <w:t xml:space="preserve">CONCLUSIONES Y REFLEXIONES </w:t>
      </w:r>
      <w:r w:rsidR="00686FF8" w:rsidRPr="00914A04">
        <w:rPr>
          <w:rFonts w:ascii="Tahoma" w:hAnsi="Tahoma" w:cs="Tahoma"/>
          <w:b/>
          <w:bCs/>
          <w:sz w:val="24"/>
          <w:szCs w:val="24"/>
        </w:rPr>
        <w:t>FINALES</w:t>
      </w:r>
      <w:r w:rsidR="00FC3E79" w:rsidRPr="00914A04">
        <w:rPr>
          <w:rFonts w:ascii="Tahoma" w:hAnsi="Tahoma" w:cs="Tahoma"/>
          <w:sz w:val="24"/>
          <w:szCs w:val="24"/>
        </w:rPr>
        <w:t>:</w:t>
      </w:r>
    </w:p>
    <w:p w14:paraId="65A25C36" w14:textId="1824D14D" w:rsidR="00B17DF9" w:rsidRPr="00914A04" w:rsidRDefault="00B64AA1" w:rsidP="00914A04">
      <w:pPr>
        <w:pStyle w:val="Prrafodelista"/>
        <w:numPr>
          <w:ilvl w:val="0"/>
          <w:numId w:val="1"/>
        </w:numPr>
        <w:spacing w:line="360" w:lineRule="auto"/>
        <w:jc w:val="both"/>
        <w:rPr>
          <w:rFonts w:ascii="Tahoma" w:hAnsi="Tahoma" w:cs="Tahoma"/>
          <w:sz w:val="24"/>
          <w:szCs w:val="24"/>
        </w:rPr>
      </w:pPr>
      <w:r w:rsidRPr="00914A04">
        <w:rPr>
          <w:rFonts w:ascii="Tahoma" w:hAnsi="Tahoma" w:cs="Tahoma"/>
          <w:sz w:val="24"/>
          <w:szCs w:val="24"/>
        </w:rPr>
        <w:t>El Código Civil español, publicado en el año 1889, ha mantenido el sistema de legítimas de hijos, descendientes, ascendientes y cónyuge viudo, sin que se haya abordado una reforma global del mismo, a pesar de las profundas transformaciones sociales y económicas producidas en más de un siglo.</w:t>
      </w:r>
    </w:p>
    <w:p w14:paraId="281502D8" w14:textId="5540FFA0" w:rsidR="00B64AA1" w:rsidRDefault="00B64AA1" w:rsidP="00B64AA1">
      <w:pPr>
        <w:pStyle w:val="Prrafodelista"/>
        <w:numPr>
          <w:ilvl w:val="0"/>
          <w:numId w:val="1"/>
        </w:numPr>
        <w:spacing w:line="360" w:lineRule="auto"/>
        <w:jc w:val="both"/>
        <w:rPr>
          <w:rFonts w:ascii="Tahoma" w:hAnsi="Tahoma" w:cs="Tahoma"/>
          <w:sz w:val="24"/>
          <w:szCs w:val="24"/>
        </w:rPr>
      </w:pPr>
      <w:r>
        <w:rPr>
          <w:rFonts w:ascii="Tahoma" w:hAnsi="Tahoma" w:cs="Tahoma"/>
          <w:sz w:val="24"/>
          <w:szCs w:val="24"/>
        </w:rPr>
        <w:t>Las reformas realizadas han sido puntuales y parciales: facilitando el pago en metálico de la legítima de hijos y descendientes, favoreciendo la conservación indivisa de la explotación económica familiar, o permitiendo la protección de los hijos y descendientes con discapacidad.</w:t>
      </w:r>
    </w:p>
    <w:p w14:paraId="1D6BE52E" w14:textId="10E0DE4E" w:rsidR="00B64AA1" w:rsidRDefault="00B64AA1" w:rsidP="00B64AA1">
      <w:pPr>
        <w:pStyle w:val="Prrafodelista"/>
        <w:numPr>
          <w:ilvl w:val="0"/>
          <w:numId w:val="1"/>
        </w:numPr>
        <w:spacing w:line="360" w:lineRule="auto"/>
        <w:jc w:val="both"/>
        <w:rPr>
          <w:rFonts w:ascii="Tahoma" w:hAnsi="Tahoma" w:cs="Tahoma"/>
          <w:sz w:val="24"/>
          <w:szCs w:val="24"/>
        </w:rPr>
      </w:pPr>
      <w:r>
        <w:rPr>
          <w:rFonts w:ascii="Tahoma" w:hAnsi="Tahoma" w:cs="Tahoma"/>
          <w:sz w:val="24"/>
          <w:szCs w:val="24"/>
        </w:rPr>
        <w:t>Los cambios sociales, en especial de la familia, y económicos producidos en los más de cien años de</w:t>
      </w:r>
      <w:r w:rsidR="009A1FB2">
        <w:rPr>
          <w:rFonts w:ascii="Tahoma" w:hAnsi="Tahoma" w:cs="Tahoma"/>
          <w:sz w:val="24"/>
          <w:szCs w:val="24"/>
        </w:rPr>
        <w:t>sde la</w:t>
      </w:r>
      <w:r>
        <w:rPr>
          <w:rFonts w:ascii="Tahoma" w:hAnsi="Tahoma" w:cs="Tahoma"/>
          <w:sz w:val="24"/>
          <w:szCs w:val="24"/>
        </w:rPr>
        <w:t xml:space="preserve"> publicación del Código Civil son de tal envergadura, que justifican la reforma urgente y</w:t>
      </w:r>
      <w:r w:rsidR="00D40592">
        <w:rPr>
          <w:rFonts w:ascii="Tahoma" w:hAnsi="Tahoma" w:cs="Tahoma"/>
          <w:sz w:val="24"/>
          <w:szCs w:val="24"/>
        </w:rPr>
        <w:t xml:space="preserve"> en profundidad</w:t>
      </w:r>
      <w:r>
        <w:rPr>
          <w:rFonts w:ascii="Tahoma" w:hAnsi="Tahoma" w:cs="Tahoma"/>
          <w:sz w:val="24"/>
          <w:szCs w:val="24"/>
        </w:rPr>
        <w:t xml:space="preserve"> del sistema de legítimas.</w:t>
      </w:r>
    </w:p>
    <w:p w14:paraId="7AFF7526" w14:textId="311B0D5E" w:rsidR="00B64AA1" w:rsidRDefault="00B64AA1" w:rsidP="00B64AA1">
      <w:pPr>
        <w:pStyle w:val="Prrafodelista"/>
        <w:numPr>
          <w:ilvl w:val="0"/>
          <w:numId w:val="1"/>
        </w:numPr>
        <w:spacing w:line="360" w:lineRule="auto"/>
        <w:jc w:val="both"/>
        <w:rPr>
          <w:rFonts w:ascii="Tahoma" w:hAnsi="Tahoma" w:cs="Tahoma"/>
          <w:sz w:val="24"/>
          <w:szCs w:val="24"/>
        </w:rPr>
      </w:pPr>
      <w:r>
        <w:rPr>
          <w:rFonts w:ascii="Tahoma" w:hAnsi="Tahoma" w:cs="Tahoma"/>
          <w:sz w:val="24"/>
          <w:szCs w:val="24"/>
        </w:rPr>
        <w:lastRenderedPageBreak/>
        <w:t>Las tendencias reformistas de los ordenamientos jurídicos internos (forales o de Derecho especial) y de los países de nuestro entorno con un sistema jurídico próximo al nuestro son claras: reducción del número de legitimarios, reducción de la legítima, facilitación del pago en metálico y flexibilización de las causas de desheredación.</w:t>
      </w:r>
    </w:p>
    <w:p w14:paraId="0A2E9753" w14:textId="77777777" w:rsidR="00BC5789" w:rsidRDefault="00B64AA1" w:rsidP="00B64AA1">
      <w:pPr>
        <w:pStyle w:val="Prrafodelista"/>
        <w:numPr>
          <w:ilvl w:val="0"/>
          <w:numId w:val="1"/>
        </w:numPr>
        <w:spacing w:line="360" w:lineRule="auto"/>
        <w:jc w:val="both"/>
        <w:rPr>
          <w:rFonts w:ascii="Tahoma" w:hAnsi="Tahoma" w:cs="Tahoma"/>
          <w:sz w:val="24"/>
          <w:szCs w:val="24"/>
        </w:rPr>
      </w:pPr>
      <w:r>
        <w:rPr>
          <w:rFonts w:ascii="Tahoma" w:hAnsi="Tahoma" w:cs="Tahoma"/>
          <w:sz w:val="24"/>
          <w:szCs w:val="24"/>
        </w:rPr>
        <w:t xml:space="preserve">El principio de la autonomía de la voluntad, el derecho constitucional a la propiedad privada y a la herencia, sin que exista un derecho </w:t>
      </w:r>
      <w:r w:rsidR="00B6378C">
        <w:rPr>
          <w:rFonts w:ascii="Tahoma" w:hAnsi="Tahoma" w:cs="Tahoma"/>
          <w:sz w:val="24"/>
          <w:szCs w:val="24"/>
        </w:rPr>
        <w:t xml:space="preserve">a las legítimas </w:t>
      </w:r>
      <w:r>
        <w:rPr>
          <w:rFonts w:ascii="Tahoma" w:hAnsi="Tahoma" w:cs="Tahoma"/>
          <w:sz w:val="24"/>
          <w:szCs w:val="24"/>
        </w:rPr>
        <w:t>amparado por nuestra Constitución, el aumento de la esperanza de vida, las profundas transformaciones</w:t>
      </w:r>
      <w:r w:rsidR="00B6378C">
        <w:rPr>
          <w:rFonts w:ascii="Tahoma" w:hAnsi="Tahoma" w:cs="Tahoma"/>
          <w:sz w:val="24"/>
          <w:szCs w:val="24"/>
        </w:rPr>
        <w:t xml:space="preserve"> sociales, familiares y económicas, el debilitamiento del fundamento de las legítimas de solidaridad familiar o de protección de la familia</w:t>
      </w:r>
      <w:r w:rsidR="00630262">
        <w:rPr>
          <w:rFonts w:ascii="Tahoma" w:hAnsi="Tahoma" w:cs="Tahoma"/>
          <w:sz w:val="24"/>
          <w:szCs w:val="24"/>
        </w:rPr>
        <w:t xml:space="preserve"> y</w:t>
      </w:r>
      <w:r w:rsidR="00B6378C">
        <w:rPr>
          <w:rFonts w:ascii="Tahoma" w:hAnsi="Tahoma" w:cs="Tahoma"/>
          <w:sz w:val="24"/>
          <w:szCs w:val="24"/>
        </w:rPr>
        <w:t xml:space="preserve">  el aumento</w:t>
      </w:r>
      <w:r w:rsidR="00630262">
        <w:rPr>
          <w:rFonts w:ascii="Tahoma" w:hAnsi="Tahoma" w:cs="Tahoma"/>
          <w:sz w:val="24"/>
          <w:szCs w:val="24"/>
        </w:rPr>
        <w:t xml:space="preserve"> en la sociedad actual,</w:t>
      </w:r>
      <w:r w:rsidR="00B6378C">
        <w:rPr>
          <w:rFonts w:ascii="Tahoma" w:hAnsi="Tahoma" w:cs="Tahoma"/>
          <w:sz w:val="24"/>
          <w:szCs w:val="24"/>
        </w:rPr>
        <w:t xml:space="preserve"> del individualismo personal, pueden ser argumentos que abonen la implantación de un sistema de libertad absoluta de testar. </w:t>
      </w:r>
    </w:p>
    <w:p w14:paraId="2B493ABC" w14:textId="1FC50803" w:rsidR="00B64AA1" w:rsidRDefault="00B6378C" w:rsidP="00BC5789">
      <w:pPr>
        <w:pStyle w:val="Prrafodelista"/>
        <w:spacing w:line="360" w:lineRule="auto"/>
        <w:ind w:left="1068"/>
        <w:jc w:val="both"/>
        <w:rPr>
          <w:rFonts w:ascii="Tahoma" w:hAnsi="Tahoma" w:cs="Tahoma"/>
          <w:sz w:val="24"/>
          <w:szCs w:val="24"/>
        </w:rPr>
      </w:pPr>
      <w:r>
        <w:rPr>
          <w:rFonts w:ascii="Tahoma" w:hAnsi="Tahoma" w:cs="Tahoma"/>
          <w:sz w:val="24"/>
          <w:szCs w:val="24"/>
        </w:rPr>
        <w:t>Sin embargo,</w:t>
      </w:r>
      <w:r w:rsidR="00B04A22">
        <w:rPr>
          <w:rFonts w:ascii="Tahoma" w:hAnsi="Tahoma" w:cs="Tahoma"/>
          <w:sz w:val="24"/>
          <w:szCs w:val="24"/>
        </w:rPr>
        <w:t xml:space="preserve"> este sistema</w:t>
      </w:r>
      <w:r w:rsidR="00017238">
        <w:rPr>
          <w:rStyle w:val="Refdenotaalpie"/>
          <w:rFonts w:ascii="Tahoma" w:hAnsi="Tahoma" w:cs="Tahoma"/>
          <w:sz w:val="24"/>
          <w:szCs w:val="24"/>
        </w:rPr>
        <w:footnoteReference w:id="95"/>
      </w:r>
      <w:r w:rsidR="00B04A22">
        <w:rPr>
          <w:rFonts w:ascii="Tahoma" w:hAnsi="Tahoma" w:cs="Tahoma"/>
          <w:sz w:val="24"/>
          <w:szCs w:val="24"/>
        </w:rPr>
        <w:t xml:space="preserve">, aun contrapesado por la obligación de dar alimentos </w:t>
      </w:r>
      <w:r w:rsidR="00B04A22" w:rsidRPr="00B04A22">
        <w:rPr>
          <w:rFonts w:ascii="Tahoma" w:hAnsi="Tahoma" w:cs="Tahoma"/>
          <w:i/>
          <w:iCs/>
          <w:sz w:val="24"/>
          <w:szCs w:val="24"/>
        </w:rPr>
        <w:t>post mortem</w:t>
      </w:r>
      <w:r w:rsidR="00B04A22">
        <w:rPr>
          <w:rFonts w:ascii="Tahoma" w:hAnsi="Tahoma" w:cs="Tahoma"/>
          <w:sz w:val="24"/>
          <w:szCs w:val="24"/>
        </w:rPr>
        <w:t xml:space="preserve"> a los parientes necesitados de asistencia que no puedan obtenerla por sí mismos</w:t>
      </w:r>
      <w:r w:rsidR="009D4691">
        <w:rPr>
          <w:rStyle w:val="Refdenotaalpie"/>
          <w:rFonts w:ascii="Tahoma" w:hAnsi="Tahoma" w:cs="Tahoma"/>
          <w:sz w:val="24"/>
          <w:szCs w:val="24"/>
        </w:rPr>
        <w:footnoteReference w:id="96"/>
      </w:r>
      <w:r w:rsidR="00B04A22">
        <w:rPr>
          <w:rFonts w:ascii="Tahoma" w:hAnsi="Tahoma" w:cs="Tahoma"/>
          <w:sz w:val="24"/>
          <w:szCs w:val="24"/>
        </w:rPr>
        <w:t>, como sucede en los países anglosajones (</w:t>
      </w:r>
      <w:r w:rsidR="00B04A22" w:rsidRPr="00B04A22">
        <w:rPr>
          <w:rFonts w:ascii="Tahoma" w:hAnsi="Tahoma" w:cs="Tahoma"/>
          <w:i/>
          <w:iCs/>
          <w:sz w:val="24"/>
          <w:szCs w:val="24"/>
        </w:rPr>
        <w:t>family provision</w:t>
      </w:r>
      <w:r w:rsidR="00B04A22">
        <w:rPr>
          <w:rFonts w:ascii="Tahoma" w:hAnsi="Tahoma" w:cs="Tahoma"/>
          <w:sz w:val="24"/>
          <w:szCs w:val="24"/>
        </w:rPr>
        <w:t xml:space="preserve">), puede </w:t>
      </w:r>
      <w:r w:rsidR="00630262">
        <w:rPr>
          <w:rFonts w:ascii="Tahoma" w:hAnsi="Tahoma" w:cs="Tahoma"/>
          <w:sz w:val="24"/>
          <w:szCs w:val="24"/>
        </w:rPr>
        <w:t>dar lugar a un incremento de</w:t>
      </w:r>
      <w:r w:rsidR="00B04A22">
        <w:rPr>
          <w:rFonts w:ascii="Tahoma" w:hAnsi="Tahoma" w:cs="Tahoma"/>
          <w:sz w:val="24"/>
          <w:szCs w:val="24"/>
        </w:rPr>
        <w:t xml:space="preserve"> la </w:t>
      </w:r>
      <w:r w:rsidR="00B04A22">
        <w:rPr>
          <w:rFonts w:ascii="Tahoma" w:hAnsi="Tahoma" w:cs="Tahoma"/>
          <w:sz w:val="24"/>
          <w:szCs w:val="24"/>
        </w:rPr>
        <w:lastRenderedPageBreak/>
        <w:t>litigiosidad y de la inseguridad jurídica de tal importan</w:t>
      </w:r>
      <w:r w:rsidR="009A1FB2">
        <w:rPr>
          <w:rFonts w:ascii="Tahoma" w:hAnsi="Tahoma" w:cs="Tahoma"/>
          <w:sz w:val="24"/>
          <w:szCs w:val="24"/>
        </w:rPr>
        <w:t>cia</w:t>
      </w:r>
      <w:r w:rsidR="00B04A22">
        <w:rPr>
          <w:rFonts w:ascii="Tahoma" w:hAnsi="Tahoma" w:cs="Tahoma"/>
          <w:sz w:val="24"/>
          <w:szCs w:val="24"/>
        </w:rPr>
        <w:t xml:space="preserve">, que creemos que </w:t>
      </w:r>
      <w:r w:rsidR="00B04A22" w:rsidRPr="00AE47CE">
        <w:rPr>
          <w:rFonts w:ascii="Tahoma" w:hAnsi="Tahoma" w:cs="Tahoma"/>
          <w:i/>
          <w:iCs/>
          <w:sz w:val="24"/>
          <w:szCs w:val="24"/>
        </w:rPr>
        <w:t>es más prudente</w:t>
      </w:r>
      <w:r w:rsidR="009A1FB2" w:rsidRPr="00AE47CE">
        <w:rPr>
          <w:rFonts w:ascii="Tahoma" w:hAnsi="Tahoma" w:cs="Tahoma"/>
          <w:i/>
          <w:iCs/>
          <w:sz w:val="24"/>
          <w:szCs w:val="24"/>
        </w:rPr>
        <w:t xml:space="preserve"> proceder a</w:t>
      </w:r>
      <w:r w:rsidR="00B04A22" w:rsidRPr="00AE47CE">
        <w:rPr>
          <w:rFonts w:ascii="Tahoma" w:hAnsi="Tahoma" w:cs="Tahoma"/>
          <w:i/>
          <w:iCs/>
          <w:sz w:val="24"/>
          <w:szCs w:val="24"/>
        </w:rPr>
        <w:t xml:space="preserve"> una reforma del sistema de legítimas</w:t>
      </w:r>
      <w:r w:rsidR="009A1FB2">
        <w:rPr>
          <w:rFonts w:ascii="Tahoma" w:hAnsi="Tahoma" w:cs="Tahoma"/>
          <w:sz w:val="24"/>
          <w:szCs w:val="24"/>
        </w:rPr>
        <w:t>.</w:t>
      </w:r>
    </w:p>
    <w:p w14:paraId="7F4CB6F2" w14:textId="3D3E9598" w:rsidR="00B04A22" w:rsidRDefault="009A1FB2" w:rsidP="00B64AA1">
      <w:pPr>
        <w:pStyle w:val="Prrafodelista"/>
        <w:numPr>
          <w:ilvl w:val="0"/>
          <w:numId w:val="1"/>
        </w:numPr>
        <w:spacing w:line="360" w:lineRule="auto"/>
        <w:jc w:val="both"/>
        <w:rPr>
          <w:rFonts w:ascii="Tahoma" w:hAnsi="Tahoma" w:cs="Tahoma"/>
          <w:sz w:val="24"/>
          <w:szCs w:val="24"/>
        </w:rPr>
      </w:pPr>
      <w:r>
        <w:rPr>
          <w:rFonts w:ascii="Tahoma" w:hAnsi="Tahoma" w:cs="Tahoma"/>
          <w:sz w:val="24"/>
          <w:szCs w:val="24"/>
        </w:rPr>
        <w:t>Pero no a cualquier reforma:</w:t>
      </w:r>
      <w:r w:rsidR="00952E95">
        <w:rPr>
          <w:rFonts w:ascii="Tahoma" w:hAnsi="Tahoma" w:cs="Tahoma"/>
          <w:sz w:val="24"/>
          <w:szCs w:val="24"/>
        </w:rPr>
        <w:t xml:space="preserve"> Desde el punto de vista de ámbito de actuación, e</w:t>
      </w:r>
      <w:r w:rsidR="00B04A22">
        <w:rPr>
          <w:rFonts w:ascii="Tahoma" w:hAnsi="Tahoma" w:cs="Tahoma"/>
          <w:sz w:val="24"/>
          <w:szCs w:val="24"/>
        </w:rPr>
        <w:t xml:space="preserve">sta reforma </w:t>
      </w:r>
      <w:r w:rsidR="00B04A22" w:rsidRPr="00AE47CE">
        <w:rPr>
          <w:rFonts w:ascii="Tahoma" w:hAnsi="Tahoma" w:cs="Tahoma"/>
          <w:i/>
          <w:iCs/>
          <w:sz w:val="24"/>
          <w:szCs w:val="24"/>
        </w:rPr>
        <w:t>ha de ser integral y radi</w:t>
      </w:r>
      <w:r w:rsidR="00BB7517" w:rsidRPr="00AE47CE">
        <w:rPr>
          <w:rFonts w:ascii="Tahoma" w:hAnsi="Tahoma" w:cs="Tahoma"/>
          <w:i/>
          <w:iCs/>
          <w:sz w:val="24"/>
          <w:szCs w:val="24"/>
        </w:rPr>
        <w:t>cal</w:t>
      </w:r>
      <w:r w:rsidR="00BB7517">
        <w:rPr>
          <w:rFonts w:ascii="Tahoma" w:hAnsi="Tahoma" w:cs="Tahoma"/>
          <w:sz w:val="24"/>
          <w:szCs w:val="24"/>
        </w:rPr>
        <w:t>, huyendo de la últimamente frecuente política legislativa</w:t>
      </w:r>
      <w:r w:rsidR="00635E4B">
        <w:rPr>
          <w:rFonts w:ascii="Tahoma" w:hAnsi="Tahoma" w:cs="Tahoma"/>
          <w:sz w:val="24"/>
          <w:szCs w:val="24"/>
        </w:rPr>
        <w:t xml:space="preserve"> “de parches”, que no tiene en cuenta</w:t>
      </w:r>
      <w:r w:rsidR="00952E95">
        <w:rPr>
          <w:rFonts w:ascii="Tahoma" w:hAnsi="Tahoma" w:cs="Tahoma"/>
          <w:sz w:val="24"/>
          <w:szCs w:val="24"/>
        </w:rPr>
        <w:t xml:space="preserve"> el tratamiento conjunto y sistemático de toda la regulación legal afectada. Además, desde el punto de vista formal, ha de procurarse que sea una modificación </w:t>
      </w:r>
      <w:r w:rsidR="00952E95" w:rsidRPr="00AE47CE">
        <w:rPr>
          <w:rFonts w:ascii="Tahoma" w:hAnsi="Tahoma" w:cs="Tahoma"/>
          <w:i/>
          <w:iCs/>
          <w:sz w:val="24"/>
          <w:szCs w:val="24"/>
        </w:rPr>
        <w:t>técnicamente pulcra y depurada</w:t>
      </w:r>
      <w:r w:rsidR="00952E95">
        <w:rPr>
          <w:rFonts w:ascii="Tahoma" w:hAnsi="Tahoma" w:cs="Tahoma"/>
          <w:sz w:val="24"/>
          <w:szCs w:val="24"/>
        </w:rPr>
        <w:t>, evitando las imprecisiones y falta de rigor observadas en las últimas reformas del Código Civil.</w:t>
      </w:r>
    </w:p>
    <w:p w14:paraId="0E530B2D" w14:textId="777AB17E" w:rsidR="00952E95" w:rsidRDefault="00DE5FFF" w:rsidP="00B64AA1">
      <w:pPr>
        <w:pStyle w:val="Prrafodelista"/>
        <w:numPr>
          <w:ilvl w:val="0"/>
          <w:numId w:val="1"/>
        </w:numPr>
        <w:spacing w:line="360" w:lineRule="auto"/>
        <w:jc w:val="both"/>
        <w:rPr>
          <w:rFonts w:ascii="Tahoma" w:hAnsi="Tahoma" w:cs="Tahoma"/>
          <w:sz w:val="24"/>
          <w:szCs w:val="24"/>
        </w:rPr>
      </w:pPr>
      <w:r>
        <w:rPr>
          <w:rFonts w:ascii="Tahoma" w:hAnsi="Tahoma" w:cs="Tahoma"/>
          <w:sz w:val="24"/>
          <w:szCs w:val="24"/>
        </w:rPr>
        <w:t xml:space="preserve">El sentido de la reforma del sistema de legítimas de nuestro Código Civil, </w:t>
      </w:r>
      <w:r w:rsidRPr="00AE47CE">
        <w:rPr>
          <w:rFonts w:ascii="Tahoma" w:hAnsi="Tahoma" w:cs="Tahoma"/>
          <w:i/>
          <w:iCs/>
          <w:sz w:val="24"/>
          <w:szCs w:val="24"/>
        </w:rPr>
        <w:t>a nuestro juicio</w:t>
      </w:r>
      <w:r w:rsidR="00535E78">
        <w:rPr>
          <w:rStyle w:val="Refdenotaalpie"/>
          <w:rFonts w:ascii="Tahoma" w:hAnsi="Tahoma" w:cs="Tahoma"/>
          <w:i/>
          <w:iCs/>
          <w:sz w:val="24"/>
          <w:szCs w:val="24"/>
        </w:rPr>
        <w:footnoteReference w:id="97"/>
      </w:r>
      <w:r>
        <w:rPr>
          <w:rFonts w:ascii="Tahoma" w:hAnsi="Tahoma" w:cs="Tahoma"/>
          <w:sz w:val="24"/>
          <w:szCs w:val="24"/>
        </w:rPr>
        <w:t>, ha de ser el siguiente:</w:t>
      </w:r>
    </w:p>
    <w:p w14:paraId="4C51529C" w14:textId="29353684" w:rsidR="00DE5FFF" w:rsidRDefault="00DE5FFF"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Configuración de las legítimas </w:t>
      </w:r>
      <w:r w:rsidRPr="00741D4F">
        <w:rPr>
          <w:rFonts w:ascii="Tahoma" w:hAnsi="Tahoma" w:cs="Tahoma"/>
          <w:i/>
          <w:iCs/>
          <w:sz w:val="24"/>
          <w:szCs w:val="24"/>
        </w:rPr>
        <w:t>como derecho de crédito</w:t>
      </w:r>
      <w:r>
        <w:rPr>
          <w:rFonts w:ascii="Tahoma" w:hAnsi="Tahoma" w:cs="Tahoma"/>
          <w:sz w:val="24"/>
          <w:szCs w:val="24"/>
        </w:rPr>
        <w:t xml:space="preserve"> o </w:t>
      </w:r>
      <w:r w:rsidRPr="000C5DF5">
        <w:rPr>
          <w:rFonts w:ascii="Tahoma" w:hAnsi="Tahoma" w:cs="Tahoma"/>
          <w:i/>
          <w:iCs/>
          <w:sz w:val="24"/>
          <w:szCs w:val="24"/>
        </w:rPr>
        <w:t>“pars valoris”</w:t>
      </w:r>
      <w:r>
        <w:rPr>
          <w:rFonts w:ascii="Tahoma" w:hAnsi="Tahoma" w:cs="Tahoma"/>
          <w:sz w:val="24"/>
          <w:szCs w:val="24"/>
        </w:rPr>
        <w:t>, con la posibilidad de su abono en metálico, incluso extra hereditario, lo que facilitará la partición de la herencia y la conservación de la empresa o explotación familiar.</w:t>
      </w:r>
    </w:p>
    <w:p w14:paraId="3735D299" w14:textId="7BFD5CA4" w:rsidR="00DE5FFF" w:rsidRDefault="00DE5FFF"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Configuración de la legítima de los hijos y descendientes como </w:t>
      </w:r>
      <w:r w:rsidRPr="00741D4F">
        <w:rPr>
          <w:rFonts w:ascii="Tahoma" w:hAnsi="Tahoma" w:cs="Tahoma"/>
          <w:i/>
          <w:iCs/>
          <w:sz w:val="24"/>
          <w:szCs w:val="24"/>
        </w:rPr>
        <w:t>legítima colectiva, reducida a una tercera parte</w:t>
      </w:r>
      <w:r>
        <w:rPr>
          <w:rFonts w:ascii="Tahoma" w:hAnsi="Tahoma" w:cs="Tahoma"/>
          <w:sz w:val="24"/>
          <w:szCs w:val="24"/>
        </w:rPr>
        <w:t xml:space="preserve"> de la herencia. De esta forma, se favorece la libertad de testar, dando solución a la necesidad de protección de los hijos o descendientes con discapacidad, protección que, en nuestra opinión, habría de extenderse también a los padres </w:t>
      </w:r>
      <w:r w:rsidR="00D40592">
        <w:rPr>
          <w:rFonts w:ascii="Tahoma" w:hAnsi="Tahoma" w:cs="Tahoma"/>
          <w:sz w:val="24"/>
          <w:szCs w:val="24"/>
        </w:rPr>
        <w:t xml:space="preserve">y ascendientes </w:t>
      </w:r>
      <w:r>
        <w:rPr>
          <w:rFonts w:ascii="Tahoma" w:hAnsi="Tahoma" w:cs="Tahoma"/>
          <w:sz w:val="24"/>
          <w:szCs w:val="24"/>
        </w:rPr>
        <w:t>con discapacidad.</w:t>
      </w:r>
    </w:p>
    <w:p w14:paraId="2A1A6697" w14:textId="2D19DDF2" w:rsidR="00DE5FFF" w:rsidRDefault="00593AF9"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La </w:t>
      </w:r>
      <w:r w:rsidRPr="00741D4F">
        <w:rPr>
          <w:rFonts w:ascii="Tahoma" w:hAnsi="Tahoma" w:cs="Tahoma"/>
          <w:i/>
          <w:iCs/>
          <w:sz w:val="24"/>
          <w:szCs w:val="24"/>
        </w:rPr>
        <w:t>legítima de los ascendientes debe quedar limitada a la de los progenitores, reducida también a un tercio</w:t>
      </w:r>
      <w:r>
        <w:rPr>
          <w:rFonts w:ascii="Tahoma" w:hAnsi="Tahoma" w:cs="Tahoma"/>
          <w:sz w:val="24"/>
          <w:szCs w:val="24"/>
        </w:rPr>
        <w:t xml:space="preserve"> de la herencia, permitiendo su pago en metálico.</w:t>
      </w:r>
    </w:p>
    <w:p w14:paraId="2AAFCCD2" w14:textId="0572B70D" w:rsidR="00593AF9" w:rsidRDefault="00593AF9"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En cuanto a la </w:t>
      </w:r>
      <w:r w:rsidRPr="00741D4F">
        <w:rPr>
          <w:rFonts w:ascii="Tahoma" w:hAnsi="Tahoma" w:cs="Tahoma"/>
          <w:i/>
          <w:iCs/>
          <w:sz w:val="24"/>
          <w:szCs w:val="24"/>
        </w:rPr>
        <w:t>legítima del cónyuge viudo</w:t>
      </w:r>
      <w:r w:rsidR="002F45C1" w:rsidRPr="00741D4F">
        <w:rPr>
          <w:rFonts w:ascii="Tahoma" w:hAnsi="Tahoma" w:cs="Tahoma"/>
          <w:i/>
          <w:iCs/>
          <w:sz w:val="24"/>
          <w:szCs w:val="24"/>
        </w:rPr>
        <w:t xml:space="preserve"> no separado legalmente o de hecho</w:t>
      </w:r>
      <w:r w:rsidRPr="00741D4F">
        <w:rPr>
          <w:rFonts w:ascii="Tahoma" w:hAnsi="Tahoma" w:cs="Tahoma"/>
          <w:i/>
          <w:iCs/>
          <w:sz w:val="24"/>
          <w:szCs w:val="24"/>
        </w:rPr>
        <w:t>:</w:t>
      </w:r>
      <w:r>
        <w:rPr>
          <w:rFonts w:ascii="Tahoma" w:hAnsi="Tahoma" w:cs="Tahoma"/>
          <w:sz w:val="24"/>
          <w:szCs w:val="24"/>
        </w:rPr>
        <w:t xml:space="preserve"> creemos que debe ser sustituida por un derecho legal </w:t>
      </w:r>
      <w:r>
        <w:rPr>
          <w:rFonts w:ascii="Tahoma" w:hAnsi="Tahoma" w:cs="Tahoma"/>
          <w:sz w:val="24"/>
          <w:szCs w:val="24"/>
        </w:rPr>
        <w:lastRenderedPageBreak/>
        <w:t>de uso de la vivienda habitual, posibilitándose, además, que el testador pueda atribuirle el usufructo universal de la herencia, incluso aunque grave la legítima de los hijos y de los ascendientes.</w:t>
      </w:r>
    </w:p>
    <w:p w14:paraId="5062CEBF" w14:textId="22DC8FBA" w:rsidR="00593AF9" w:rsidRDefault="00593AF9"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Debe </w:t>
      </w:r>
      <w:r w:rsidRPr="00741D4F">
        <w:rPr>
          <w:rFonts w:ascii="Tahoma" w:hAnsi="Tahoma" w:cs="Tahoma"/>
          <w:i/>
          <w:iCs/>
          <w:sz w:val="24"/>
          <w:szCs w:val="24"/>
        </w:rPr>
        <w:t>equipararse</w:t>
      </w:r>
      <w:r>
        <w:rPr>
          <w:rFonts w:ascii="Tahoma" w:hAnsi="Tahoma" w:cs="Tahoma"/>
          <w:sz w:val="24"/>
          <w:szCs w:val="24"/>
        </w:rPr>
        <w:t xml:space="preserve"> al matrimonio</w:t>
      </w:r>
      <w:r w:rsidR="008E09FB">
        <w:rPr>
          <w:rStyle w:val="Refdenotaalpie"/>
          <w:rFonts w:ascii="Tahoma" w:hAnsi="Tahoma" w:cs="Tahoma"/>
          <w:sz w:val="24"/>
          <w:szCs w:val="24"/>
        </w:rPr>
        <w:footnoteReference w:id="98"/>
      </w:r>
      <w:r>
        <w:rPr>
          <w:rFonts w:ascii="Tahoma" w:hAnsi="Tahoma" w:cs="Tahoma"/>
          <w:sz w:val="24"/>
          <w:szCs w:val="24"/>
        </w:rPr>
        <w:t xml:space="preserve">, a efectos sucesorios, </w:t>
      </w:r>
      <w:r w:rsidRPr="00741D4F">
        <w:rPr>
          <w:rFonts w:ascii="Tahoma" w:hAnsi="Tahoma" w:cs="Tahoma"/>
          <w:i/>
          <w:iCs/>
          <w:sz w:val="24"/>
          <w:szCs w:val="24"/>
        </w:rPr>
        <w:t>la pareja de hecho o estable registrada</w:t>
      </w:r>
      <w:r w:rsidR="002F45C1" w:rsidRPr="00741D4F">
        <w:rPr>
          <w:rFonts w:ascii="Tahoma" w:hAnsi="Tahoma" w:cs="Tahoma"/>
          <w:i/>
          <w:iCs/>
          <w:sz w:val="24"/>
          <w:szCs w:val="24"/>
        </w:rPr>
        <w:t xml:space="preserve"> o que conste en escritura pública</w:t>
      </w:r>
      <w:r>
        <w:rPr>
          <w:rFonts w:ascii="Tahoma" w:hAnsi="Tahoma" w:cs="Tahoma"/>
          <w:sz w:val="24"/>
          <w:szCs w:val="24"/>
        </w:rPr>
        <w:t>.</w:t>
      </w:r>
    </w:p>
    <w:p w14:paraId="445FFCDF" w14:textId="0C72A537" w:rsidR="00593AF9" w:rsidRDefault="00593AF9"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Es necesario modificar y </w:t>
      </w:r>
      <w:r w:rsidRPr="00741D4F">
        <w:rPr>
          <w:rFonts w:ascii="Tahoma" w:hAnsi="Tahoma" w:cs="Tahoma"/>
          <w:i/>
          <w:iCs/>
          <w:sz w:val="24"/>
          <w:szCs w:val="24"/>
        </w:rPr>
        <w:t xml:space="preserve">actualizar las reglas de computación, imputación y colación, </w:t>
      </w:r>
      <w:r>
        <w:rPr>
          <w:rFonts w:ascii="Tahoma" w:hAnsi="Tahoma" w:cs="Tahoma"/>
          <w:sz w:val="24"/>
          <w:szCs w:val="24"/>
        </w:rPr>
        <w:t>estableciendo un plazo</w:t>
      </w:r>
      <w:r w:rsidR="00630262">
        <w:rPr>
          <w:rFonts w:ascii="Tahoma" w:hAnsi="Tahoma" w:cs="Tahoma"/>
          <w:sz w:val="24"/>
          <w:szCs w:val="24"/>
        </w:rPr>
        <w:t xml:space="preserve"> máximo</w:t>
      </w:r>
      <w:r>
        <w:rPr>
          <w:rFonts w:ascii="Tahoma" w:hAnsi="Tahoma" w:cs="Tahoma"/>
          <w:sz w:val="24"/>
          <w:szCs w:val="24"/>
        </w:rPr>
        <w:t xml:space="preserve"> para la colación de las donaciones.</w:t>
      </w:r>
    </w:p>
    <w:p w14:paraId="7BFAA519" w14:textId="3C63D444" w:rsidR="00593AF9" w:rsidRDefault="00344903"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Hay que </w:t>
      </w:r>
      <w:r w:rsidRPr="00741D4F">
        <w:rPr>
          <w:rFonts w:ascii="Tahoma" w:hAnsi="Tahoma" w:cs="Tahoma"/>
          <w:i/>
          <w:iCs/>
          <w:sz w:val="24"/>
          <w:szCs w:val="24"/>
        </w:rPr>
        <w:t>actualizar</w:t>
      </w:r>
      <w:r w:rsidR="00593AF9" w:rsidRPr="00741D4F">
        <w:rPr>
          <w:rFonts w:ascii="Tahoma" w:hAnsi="Tahoma" w:cs="Tahoma"/>
          <w:i/>
          <w:iCs/>
          <w:sz w:val="24"/>
          <w:szCs w:val="24"/>
        </w:rPr>
        <w:t xml:space="preserve"> las causas de desheredación</w:t>
      </w:r>
      <w:r w:rsidR="00593AF9">
        <w:rPr>
          <w:rFonts w:ascii="Tahoma" w:hAnsi="Tahoma" w:cs="Tahoma"/>
          <w:sz w:val="24"/>
          <w:szCs w:val="24"/>
        </w:rPr>
        <w:t xml:space="preserve">, </w:t>
      </w:r>
      <w:r>
        <w:rPr>
          <w:rFonts w:ascii="Tahoma" w:hAnsi="Tahoma" w:cs="Tahoma"/>
          <w:sz w:val="24"/>
          <w:szCs w:val="24"/>
        </w:rPr>
        <w:t xml:space="preserve">incluyendo </w:t>
      </w:r>
      <w:r w:rsidR="00593AF9">
        <w:rPr>
          <w:rFonts w:ascii="Tahoma" w:hAnsi="Tahoma" w:cs="Tahoma"/>
          <w:sz w:val="24"/>
          <w:szCs w:val="24"/>
        </w:rPr>
        <w:t xml:space="preserve">el maltrato psicológico y </w:t>
      </w:r>
      <w:r w:rsidR="00565191">
        <w:rPr>
          <w:rFonts w:ascii="Tahoma" w:hAnsi="Tahoma" w:cs="Tahoma"/>
          <w:sz w:val="24"/>
          <w:szCs w:val="24"/>
        </w:rPr>
        <w:t>l</w:t>
      </w:r>
      <w:r w:rsidR="00565191" w:rsidRPr="00565191">
        <w:rPr>
          <w:rFonts w:ascii="Tahoma" w:hAnsi="Tahoma" w:cs="Tahoma"/>
          <w:sz w:val="24"/>
          <w:szCs w:val="24"/>
        </w:rPr>
        <w:t>a ausencia manifiesta y continuada de relación familiar entre el causante y el legitimario, si es por una causa exclusivamente imputable al legitimario</w:t>
      </w:r>
      <w:r w:rsidR="00565191">
        <w:rPr>
          <w:rFonts w:ascii="Tahoma" w:hAnsi="Tahoma" w:cs="Tahoma"/>
          <w:sz w:val="24"/>
          <w:szCs w:val="24"/>
        </w:rPr>
        <w:t xml:space="preserve">, </w:t>
      </w:r>
      <w:r w:rsidR="00565191" w:rsidRPr="00741D4F">
        <w:rPr>
          <w:rFonts w:ascii="Tahoma" w:hAnsi="Tahoma" w:cs="Tahoma"/>
          <w:i/>
          <w:iCs/>
          <w:sz w:val="24"/>
          <w:szCs w:val="24"/>
        </w:rPr>
        <w:t>con inversión de la carga de la prueba</w:t>
      </w:r>
      <w:r w:rsidR="00565191">
        <w:rPr>
          <w:rFonts w:ascii="Tahoma" w:hAnsi="Tahoma" w:cs="Tahoma"/>
          <w:sz w:val="24"/>
          <w:szCs w:val="24"/>
        </w:rPr>
        <w:t xml:space="preserve"> en este caso</w:t>
      </w:r>
      <w:r w:rsidR="004D5829">
        <w:rPr>
          <w:rFonts w:ascii="Tahoma" w:hAnsi="Tahoma" w:cs="Tahoma"/>
          <w:sz w:val="24"/>
          <w:szCs w:val="24"/>
        </w:rPr>
        <w:t>, de modo que sea el desheredado el que tenga que probar la relación existente o que la falta de relación fue por causa imputable al testador.</w:t>
      </w:r>
    </w:p>
    <w:p w14:paraId="3900A0F5" w14:textId="2B41A7D4" w:rsidR="004D5829" w:rsidRDefault="004D5829"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Modificación de la </w:t>
      </w:r>
      <w:r w:rsidRPr="00741D4F">
        <w:rPr>
          <w:rFonts w:ascii="Tahoma" w:hAnsi="Tahoma" w:cs="Tahoma"/>
          <w:i/>
          <w:iCs/>
          <w:sz w:val="24"/>
          <w:szCs w:val="24"/>
        </w:rPr>
        <w:t>preterición y sus efectos</w:t>
      </w:r>
      <w:r>
        <w:rPr>
          <w:rFonts w:ascii="Tahoma" w:hAnsi="Tahoma" w:cs="Tahoma"/>
          <w:sz w:val="24"/>
          <w:szCs w:val="24"/>
        </w:rPr>
        <w:t>, para ajustarl</w:t>
      </w:r>
      <w:r w:rsidR="00BC5789">
        <w:rPr>
          <w:rFonts w:ascii="Tahoma" w:hAnsi="Tahoma" w:cs="Tahoma"/>
          <w:sz w:val="24"/>
          <w:szCs w:val="24"/>
        </w:rPr>
        <w:t xml:space="preserve">os </w:t>
      </w:r>
      <w:r>
        <w:rPr>
          <w:rFonts w:ascii="Tahoma" w:hAnsi="Tahoma" w:cs="Tahoma"/>
          <w:sz w:val="24"/>
          <w:szCs w:val="24"/>
        </w:rPr>
        <w:t>a la nueva configuración de las legítimas.</w:t>
      </w:r>
    </w:p>
    <w:p w14:paraId="5FEA0CEF" w14:textId="237EAD81" w:rsidR="007D5ED7" w:rsidRDefault="007D5ED7"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Deben mantenerse</w:t>
      </w:r>
      <w:r w:rsidR="00630262">
        <w:rPr>
          <w:rFonts w:ascii="Tahoma" w:hAnsi="Tahoma" w:cs="Tahoma"/>
          <w:sz w:val="24"/>
          <w:szCs w:val="24"/>
        </w:rPr>
        <w:t>, por su fundamento, actualidad y utilidad,</w:t>
      </w:r>
      <w:r>
        <w:rPr>
          <w:rFonts w:ascii="Tahoma" w:hAnsi="Tahoma" w:cs="Tahoma"/>
          <w:sz w:val="24"/>
          <w:szCs w:val="24"/>
        </w:rPr>
        <w:t xml:space="preserve"> la reversión (artículo 812) y la reserva ordinaria </w:t>
      </w:r>
      <w:r w:rsidR="00D876AF">
        <w:rPr>
          <w:rFonts w:ascii="Tahoma" w:hAnsi="Tahoma" w:cs="Tahoma"/>
          <w:sz w:val="24"/>
          <w:szCs w:val="24"/>
        </w:rPr>
        <w:t>(artículos 968 y siguientes), suprimiéndose la reserva lineal (artículo 811)</w:t>
      </w:r>
      <w:r w:rsidR="00630262">
        <w:rPr>
          <w:rFonts w:ascii="Tahoma" w:hAnsi="Tahoma" w:cs="Tahoma"/>
          <w:sz w:val="24"/>
          <w:szCs w:val="24"/>
        </w:rPr>
        <w:t>,</w:t>
      </w:r>
      <w:r w:rsidR="00D876AF">
        <w:rPr>
          <w:rFonts w:ascii="Tahoma" w:hAnsi="Tahoma" w:cs="Tahoma"/>
          <w:sz w:val="24"/>
          <w:szCs w:val="24"/>
        </w:rPr>
        <w:t xml:space="preserve"> por su obsolescencia.</w:t>
      </w:r>
    </w:p>
    <w:p w14:paraId="728F7EB6" w14:textId="3F1550F8" w:rsidR="00D876AF" w:rsidRDefault="00630262"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Han de admitirse </w:t>
      </w:r>
      <w:r w:rsidR="00D876AF">
        <w:rPr>
          <w:rFonts w:ascii="Tahoma" w:hAnsi="Tahoma" w:cs="Tahoma"/>
          <w:sz w:val="24"/>
          <w:szCs w:val="24"/>
        </w:rPr>
        <w:t xml:space="preserve">los </w:t>
      </w:r>
      <w:r w:rsidR="00D876AF" w:rsidRPr="00741D4F">
        <w:rPr>
          <w:rFonts w:ascii="Tahoma" w:hAnsi="Tahoma" w:cs="Tahoma"/>
          <w:i/>
          <w:iCs/>
          <w:sz w:val="24"/>
          <w:szCs w:val="24"/>
        </w:rPr>
        <w:t>pactos sucesorios</w:t>
      </w:r>
      <w:r w:rsidR="00BC5789" w:rsidRPr="00741D4F">
        <w:rPr>
          <w:rFonts w:ascii="Tahoma" w:hAnsi="Tahoma" w:cs="Tahoma"/>
          <w:i/>
          <w:iCs/>
          <w:sz w:val="24"/>
          <w:szCs w:val="24"/>
        </w:rPr>
        <w:t>, los mandatos y donaciones “post mortem”,</w:t>
      </w:r>
      <w:r w:rsidR="00D876AF" w:rsidRPr="00741D4F">
        <w:rPr>
          <w:rFonts w:ascii="Tahoma" w:hAnsi="Tahoma" w:cs="Tahoma"/>
          <w:i/>
          <w:iCs/>
          <w:sz w:val="24"/>
          <w:szCs w:val="24"/>
        </w:rPr>
        <w:t xml:space="preserve"> y la renuncia anticipada de la legítima</w:t>
      </w:r>
      <w:r w:rsidR="00133A96" w:rsidRPr="00741D4F">
        <w:rPr>
          <w:rFonts w:ascii="Tahoma" w:hAnsi="Tahoma" w:cs="Tahoma"/>
          <w:i/>
          <w:iCs/>
          <w:sz w:val="24"/>
          <w:szCs w:val="24"/>
        </w:rPr>
        <w:t>, así como los testamentos mancomunados</w:t>
      </w:r>
      <w:r w:rsidR="000C5DF5">
        <w:rPr>
          <w:rStyle w:val="Refdenotaalpie"/>
          <w:rFonts w:ascii="Tahoma" w:hAnsi="Tahoma" w:cs="Tahoma"/>
          <w:i/>
          <w:iCs/>
          <w:sz w:val="24"/>
          <w:szCs w:val="24"/>
        </w:rPr>
        <w:footnoteReference w:id="99"/>
      </w:r>
      <w:r w:rsidR="00133A96">
        <w:rPr>
          <w:rFonts w:ascii="Tahoma" w:hAnsi="Tahoma" w:cs="Tahoma"/>
          <w:sz w:val="24"/>
          <w:szCs w:val="24"/>
        </w:rPr>
        <w:t xml:space="preserve"> que permitan a ambos cónyuges </w:t>
      </w:r>
      <w:r w:rsidR="00133A96">
        <w:rPr>
          <w:rFonts w:ascii="Tahoma" w:hAnsi="Tahoma" w:cs="Tahoma"/>
          <w:sz w:val="24"/>
          <w:szCs w:val="24"/>
        </w:rPr>
        <w:lastRenderedPageBreak/>
        <w:t>distribuir el patrimonio familiar, abonando las legítimas a los hijos con independencia del carácter y de la procedencia de los bienes.</w:t>
      </w:r>
    </w:p>
    <w:p w14:paraId="4C8917DC" w14:textId="445CD5C5" w:rsidR="00630262" w:rsidRDefault="00630262" w:rsidP="00DE5FFF">
      <w:pPr>
        <w:pStyle w:val="Prrafodelista"/>
        <w:numPr>
          <w:ilvl w:val="0"/>
          <w:numId w:val="2"/>
        </w:numPr>
        <w:spacing w:line="360" w:lineRule="auto"/>
        <w:jc w:val="both"/>
        <w:rPr>
          <w:rFonts w:ascii="Tahoma" w:hAnsi="Tahoma" w:cs="Tahoma"/>
          <w:sz w:val="24"/>
          <w:szCs w:val="24"/>
        </w:rPr>
      </w:pPr>
      <w:r>
        <w:rPr>
          <w:rFonts w:ascii="Tahoma" w:hAnsi="Tahoma" w:cs="Tahoma"/>
          <w:sz w:val="24"/>
          <w:szCs w:val="24"/>
        </w:rPr>
        <w:t xml:space="preserve">Para favorecer la libertad de testar, ha de darse </w:t>
      </w:r>
      <w:r w:rsidRPr="00741D4F">
        <w:rPr>
          <w:rFonts w:ascii="Tahoma" w:hAnsi="Tahoma" w:cs="Tahoma"/>
          <w:i/>
          <w:iCs/>
          <w:sz w:val="24"/>
          <w:szCs w:val="24"/>
        </w:rPr>
        <w:t>un tratamiento fiscal más equitativo y proporcionado</w:t>
      </w:r>
      <w:r>
        <w:rPr>
          <w:rFonts w:ascii="Tahoma" w:hAnsi="Tahoma" w:cs="Tahoma"/>
          <w:sz w:val="24"/>
          <w:szCs w:val="24"/>
        </w:rPr>
        <w:t xml:space="preserve"> a los distintos supuestos de adquisiciones hereditarias, que no grave en exceso</w:t>
      </w:r>
      <w:r w:rsidR="00741D4F">
        <w:rPr>
          <w:rFonts w:ascii="Tahoma" w:hAnsi="Tahoma" w:cs="Tahoma"/>
          <w:sz w:val="24"/>
          <w:szCs w:val="24"/>
        </w:rPr>
        <w:t>, como ocurre actualmente,</w:t>
      </w:r>
      <w:r>
        <w:rPr>
          <w:rFonts w:ascii="Tahoma" w:hAnsi="Tahoma" w:cs="Tahoma"/>
          <w:sz w:val="24"/>
          <w:szCs w:val="24"/>
        </w:rPr>
        <w:t xml:space="preserve"> las transmisiones a favor de parientes</w:t>
      </w:r>
      <w:r w:rsidR="00D40592">
        <w:rPr>
          <w:rFonts w:ascii="Tahoma" w:hAnsi="Tahoma" w:cs="Tahoma"/>
          <w:sz w:val="24"/>
          <w:szCs w:val="24"/>
        </w:rPr>
        <w:t xml:space="preserve"> no</w:t>
      </w:r>
      <w:r>
        <w:rPr>
          <w:rFonts w:ascii="Tahoma" w:hAnsi="Tahoma" w:cs="Tahoma"/>
          <w:sz w:val="24"/>
          <w:szCs w:val="24"/>
        </w:rPr>
        <w:t xml:space="preserve"> directos del causante.</w:t>
      </w:r>
    </w:p>
    <w:p w14:paraId="3E42FBC5" w14:textId="368502EC" w:rsidR="00914A04" w:rsidRPr="007B6471" w:rsidRDefault="004D5829" w:rsidP="007B6471">
      <w:pPr>
        <w:pStyle w:val="Prrafodelista"/>
        <w:numPr>
          <w:ilvl w:val="0"/>
          <w:numId w:val="2"/>
        </w:numPr>
        <w:spacing w:line="360" w:lineRule="auto"/>
        <w:jc w:val="both"/>
        <w:rPr>
          <w:rFonts w:ascii="Tahoma" w:hAnsi="Tahoma" w:cs="Tahoma"/>
          <w:sz w:val="24"/>
          <w:szCs w:val="24"/>
        </w:rPr>
      </w:pPr>
      <w:r w:rsidRPr="007B6471">
        <w:rPr>
          <w:rFonts w:ascii="Tahoma" w:hAnsi="Tahoma" w:cs="Tahoma"/>
          <w:sz w:val="24"/>
          <w:szCs w:val="24"/>
        </w:rPr>
        <w:t xml:space="preserve">Por último, como complemento a la reforma, </w:t>
      </w:r>
      <w:r w:rsidR="002E0D64" w:rsidRPr="007B6471">
        <w:rPr>
          <w:rFonts w:ascii="Tahoma" w:hAnsi="Tahoma" w:cs="Tahoma"/>
          <w:sz w:val="24"/>
          <w:szCs w:val="24"/>
        </w:rPr>
        <w:t xml:space="preserve">habría </w:t>
      </w:r>
      <w:r w:rsidR="002E0D64" w:rsidRPr="00741D4F">
        <w:rPr>
          <w:rFonts w:ascii="Tahoma" w:hAnsi="Tahoma" w:cs="Tahoma"/>
          <w:i/>
          <w:iCs/>
          <w:sz w:val="24"/>
          <w:szCs w:val="24"/>
        </w:rPr>
        <w:t>que anteponer al</w:t>
      </w:r>
      <w:r w:rsidRPr="00741D4F">
        <w:rPr>
          <w:rFonts w:ascii="Tahoma" w:hAnsi="Tahoma" w:cs="Tahoma"/>
          <w:i/>
          <w:iCs/>
          <w:sz w:val="24"/>
          <w:szCs w:val="24"/>
        </w:rPr>
        <w:t xml:space="preserve"> cónyuge viudo a los ascendientes en el orden del llamamiento en la sucesión legal,</w:t>
      </w:r>
      <w:r w:rsidRPr="007B6471">
        <w:rPr>
          <w:rFonts w:ascii="Tahoma" w:hAnsi="Tahoma" w:cs="Tahoma"/>
          <w:sz w:val="24"/>
          <w:szCs w:val="24"/>
        </w:rPr>
        <w:t xml:space="preserve"> si bien conservando éstos su derecho a la legítima, en los términos expuestos.</w:t>
      </w:r>
      <w:r w:rsidR="00850B74" w:rsidRPr="007B6471">
        <w:rPr>
          <w:rFonts w:ascii="Tahoma" w:hAnsi="Tahoma" w:cs="Tahoma"/>
          <w:sz w:val="24"/>
          <w:szCs w:val="24"/>
        </w:rPr>
        <w:t xml:space="preserve">                 </w:t>
      </w:r>
    </w:p>
    <w:p w14:paraId="5EC8DA38" w14:textId="77777777" w:rsidR="00914A04" w:rsidRDefault="00914A04" w:rsidP="00850B74">
      <w:pPr>
        <w:pStyle w:val="Prrafodelista"/>
        <w:spacing w:line="360" w:lineRule="auto"/>
        <w:ind w:left="567"/>
        <w:jc w:val="both"/>
        <w:rPr>
          <w:rFonts w:ascii="Tahoma" w:hAnsi="Tahoma" w:cs="Tahoma"/>
          <w:sz w:val="24"/>
          <w:szCs w:val="24"/>
        </w:rPr>
      </w:pPr>
    </w:p>
    <w:p w14:paraId="756218B3" w14:textId="77777777" w:rsidR="00914A04" w:rsidRDefault="00914A04" w:rsidP="00850B74">
      <w:pPr>
        <w:pStyle w:val="Prrafodelista"/>
        <w:spacing w:line="360" w:lineRule="auto"/>
        <w:ind w:left="567"/>
        <w:jc w:val="both"/>
        <w:rPr>
          <w:rFonts w:ascii="Tahoma" w:hAnsi="Tahoma" w:cs="Tahoma"/>
          <w:sz w:val="24"/>
          <w:szCs w:val="24"/>
        </w:rPr>
      </w:pPr>
    </w:p>
    <w:p w14:paraId="306624E5" w14:textId="5A687BCC" w:rsidR="004D5829" w:rsidRPr="00850B74" w:rsidRDefault="00850B74" w:rsidP="00850B74">
      <w:pPr>
        <w:pStyle w:val="Prrafodelista"/>
        <w:spacing w:line="360" w:lineRule="auto"/>
        <w:ind w:left="567"/>
        <w:jc w:val="both"/>
        <w:rPr>
          <w:rFonts w:ascii="Tahoma" w:hAnsi="Tahoma" w:cs="Tahoma"/>
          <w:b/>
          <w:bCs/>
          <w:sz w:val="24"/>
          <w:szCs w:val="24"/>
        </w:rPr>
      </w:pPr>
      <w:r>
        <w:rPr>
          <w:rFonts w:ascii="Tahoma" w:hAnsi="Tahoma" w:cs="Tahoma"/>
          <w:sz w:val="24"/>
          <w:szCs w:val="24"/>
        </w:rPr>
        <w:t xml:space="preserve"> </w:t>
      </w:r>
      <w:r w:rsidR="004D5829" w:rsidRPr="00850B74">
        <w:rPr>
          <w:rFonts w:ascii="Tahoma" w:hAnsi="Tahoma" w:cs="Tahoma"/>
          <w:b/>
          <w:bCs/>
          <w:sz w:val="24"/>
          <w:szCs w:val="24"/>
        </w:rPr>
        <w:t>BIBLIOGRAFÍA:</w:t>
      </w:r>
    </w:p>
    <w:p w14:paraId="260D2A0F" w14:textId="6925498A" w:rsidR="00060FCD" w:rsidRDefault="00060FCD" w:rsidP="00850B74">
      <w:pPr>
        <w:pStyle w:val="Prrafodelista"/>
        <w:spacing w:line="360" w:lineRule="auto"/>
        <w:ind w:left="567"/>
        <w:jc w:val="both"/>
        <w:rPr>
          <w:rFonts w:ascii="Tahoma" w:hAnsi="Tahoma" w:cs="Tahoma"/>
          <w:sz w:val="24"/>
          <w:szCs w:val="24"/>
        </w:rPr>
      </w:pPr>
      <w:r>
        <w:rPr>
          <w:rFonts w:ascii="Tahoma" w:hAnsi="Tahoma" w:cs="Tahoma"/>
          <w:sz w:val="24"/>
          <w:szCs w:val="24"/>
        </w:rPr>
        <w:t>BADENAS BOLDÓ, Javier: “Legítima y libertad de testar en el Derecho Civil español”, Revista Jurídica Valenciana, números 37-38, 2021, páginas 70-113.</w:t>
      </w:r>
    </w:p>
    <w:p w14:paraId="21659EE7" w14:textId="3ED25BFF" w:rsidR="006240D4" w:rsidRDefault="006240D4" w:rsidP="00850B74">
      <w:pPr>
        <w:pStyle w:val="Prrafodelista"/>
        <w:spacing w:line="360" w:lineRule="auto"/>
        <w:ind w:left="567"/>
        <w:jc w:val="both"/>
        <w:rPr>
          <w:rFonts w:ascii="Tahoma" w:hAnsi="Tahoma" w:cs="Tahoma"/>
          <w:sz w:val="24"/>
          <w:szCs w:val="24"/>
        </w:rPr>
      </w:pPr>
      <w:r>
        <w:rPr>
          <w:rFonts w:ascii="Tahoma" w:hAnsi="Tahoma" w:cs="Tahoma"/>
          <w:sz w:val="24"/>
          <w:szCs w:val="24"/>
        </w:rPr>
        <w:t>BARRIO GALLARDO, Aurelio: “Atemperar la rigidez de la legítima”, Aranzadi Civil, número 21, 2007.</w:t>
      </w:r>
    </w:p>
    <w:p w14:paraId="16AC50C4" w14:textId="4B9BA08E" w:rsidR="006240D4" w:rsidRDefault="006240D4" w:rsidP="00850B74">
      <w:pPr>
        <w:pStyle w:val="Prrafodelista"/>
        <w:spacing w:line="360" w:lineRule="auto"/>
        <w:ind w:left="567"/>
        <w:jc w:val="both"/>
        <w:rPr>
          <w:rFonts w:ascii="Tahoma" w:hAnsi="Tahoma" w:cs="Tahoma"/>
          <w:sz w:val="24"/>
          <w:szCs w:val="24"/>
        </w:rPr>
      </w:pPr>
      <w:r>
        <w:rPr>
          <w:rFonts w:ascii="Tahoma" w:hAnsi="Tahoma" w:cs="Tahoma"/>
          <w:sz w:val="24"/>
          <w:szCs w:val="24"/>
        </w:rPr>
        <w:t>“La evolución de la libertad de testar en el Common law inglés”, Aranzadi-Thomson Reuters, Navarra, 2011.</w:t>
      </w:r>
    </w:p>
    <w:p w14:paraId="3C8AF301" w14:textId="0A206CE1" w:rsidR="006E6852" w:rsidRDefault="006E6852" w:rsidP="00850B74">
      <w:pPr>
        <w:pStyle w:val="Prrafodelista"/>
        <w:spacing w:line="360" w:lineRule="auto"/>
        <w:ind w:left="567"/>
        <w:jc w:val="both"/>
        <w:rPr>
          <w:rFonts w:ascii="Tahoma" w:hAnsi="Tahoma" w:cs="Tahoma"/>
          <w:sz w:val="24"/>
          <w:szCs w:val="24"/>
        </w:rPr>
      </w:pPr>
      <w:r>
        <w:rPr>
          <w:rFonts w:ascii="Tahoma" w:hAnsi="Tahoma" w:cs="Tahoma"/>
          <w:sz w:val="24"/>
          <w:szCs w:val="24"/>
        </w:rPr>
        <w:t>“El largo camino hacia la libertad de testar. De la legítima al derecho sucesorio de alimentos”, editorial Dykinson, Madrid, 2012.</w:t>
      </w:r>
    </w:p>
    <w:p w14:paraId="7313BB0E" w14:textId="618AB599" w:rsidR="00C17218" w:rsidRDefault="00C17218" w:rsidP="00850B74">
      <w:pPr>
        <w:pStyle w:val="Prrafodelista"/>
        <w:spacing w:line="360" w:lineRule="auto"/>
        <w:ind w:left="567"/>
        <w:jc w:val="both"/>
        <w:rPr>
          <w:rFonts w:ascii="Tahoma" w:hAnsi="Tahoma" w:cs="Tahoma"/>
          <w:sz w:val="24"/>
          <w:szCs w:val="24"/>
        </w:rPr>
      </w:pPr>
      <w:r>
        <w:rPr>
          <w:rFonts w:ascii="Tahoma" w:hAnsi="Tahoma" w:cs="Tahoma"/>
          <w:sz w:val="24"/>
          <w:szCs w:val="24"/>
        </w:rPr>
        <w:t>BERNARD MAINAR, Rafael: “La porción legítima en la familia del Derecho Romano, Revista Crítica de Derecho Inmobiliario, número 750, páginas 1765 a 1805.</w:t>
      </w:r>
    </w:p>
    <w:p w14:paraId="2DAFBC7E" w14:textId="44B03F73" w:rsidR="00BA5000" w:rsidRDefault="00BA5000" w:rsidP="00850B74">
      <w:pPr>
        <w:pStyle w:val="Prrafodelista"/>
        <w:spacing w:line="360" w:lineRule="auto"/>
        <w:ind w:left="567"/>
        <w:jc w:val="both"/>
        <w:rPr>
          <w:rFonts w:ascii="Tahoma" w:hAnsi="Tahoma" w:cs="Tahoma"/>
          <w:sz w:val="24"/>
          <w:szCs w:val="24"/>
        </w:rPr>
      </w:pPr>
      <w:r>
        <w:rPr>
          <w:rFonts w:ascii="Tahoma" w:hAnsi="Tahoma" w:cs="Tahoma"/>
          <w:sz w:val="24"/>
          <w:szCs w:val="24"/>
        </w:rPr>
        <w:t>“Reflexiones sobre la conservación o supresión de la cuota legítima en la futura reforma de sucesiones del Código Civil”, Actualidad Jurídica Iberoamericana, número 10 bis, junio 2019, páginas 376-408.</w:t>
      </w:r>
    </w:p>
    <w:p w14:paraId="032F5BFE" w14:textId="029C12BC" w:rsidR="007D5ED7" w:rsidRDefault="007D5ED7" w:rsidP="00850B74">
      <w:pPr>
        <w:pStyle w:val="Prrafodelista"/>
        <w:spacing w:line="360" w:lineRule="auto"/>
        <w:ind w:left="567"/>
        <w:jc w:val="both"/>
        <w:rPr>
          <w:rFonts w:ascii="Tahoma" w:hAnsi="Tahoma" w:cs="Tahoma"/>
          <w:sz w:val="24"/>
          <w:szCs w:val="24"/>
        </w:rPr>
      </w:pPr>
      <w:r>
        <w:rPr>
          <w:rFonts w:ascii="Tahoma" w:hAnsi="Tahoma" w:cs="Tahoma"/>
          <w:sz w:val="24"/>
          <w:szCs w:val="24"/>
        </w:rPr>
        <w:lastRenderedPageBreak/>
        <w:t xml:space="preserve">BOTELLO HERMOSA, Pedro: </w:t>
      </w:r>
      <w:r w:rsidR="00BC3E7F">
        <w:rPr>
          <w:rFonts w:ascii="Tahoma" w:hAnsi="Tahoma" w:cs="Tahoma"/>
          <w:sz w:val="24"/>
          <w:szCs w:val="24"/>
        </w:rPr>
        <w:t>“La legítima estricta ¿colectiva? Tras la Ley 8/21”, Revista Crítica de Derecho Inmobiliario, número 795, año 2023, páginas 227-271.</w:t>
      </w:r>
    </w:p>
    <w:p w14:paraId="496D7077" w14:textId="6EF180C2" w:rsidR="00060FCD" w:rsidRDefault="00060FCD"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CABELLO HERNÁNDEZ, </w:t>
      </w:r>
      <w:r w:rsidR="00157C4D">
        <w:rPr>
          <w:rFonts w:ascii="Tahoma" w:hAnsi="Tahoma" w:cs="Tahoma"/>
          <w:sz w:val="24"/>
          <w:szCs w:val="24"/>
        </w:rPr>
        <w:t xml:space="preserve">José Ramón: “Presupuestos para una reforma del sistema de legítimas en el Derecho español de sucesiones”, </w:t>
      </w:r>
      <w:r w:rsidR="00BA1E35">
        <w:rPr>
          <w:rFonts w:ascii="Tahoma" w:hAnsi="Tahoma" w:cs="Tahoma"/>
          <w:sz w:val="24"/>
          <w:szCs w:val="24"/>
        </w:rPr>
        <w:t>Revista Boliviana de Derecho, número 36, 2023, páginas 116-145.</w:t>
      </w:r>
    </w:p>
    <w:p w14:paraId="7E1D8C3D" w14:textId="680E2F09" w:rsidR="00BB558E" w:rsidRDefault="00BB558E" w:rsidP="00850B74">
      <w:pPr>
        <w:pStyle w:val="Prrafodelista"/>
        <w:spacing w:line="360" w:lineRule="auto"/>
        <w:ind w:left="567"/>
        <w:jc w:val="both"/>
        <w:rPr>
          <w:rFonts w:ascii="Tahoma" w:hAnsi="Tahoma" w:cs="Tahoma"/>
          <w:sz w:val="24"/>
          <w:szCs w:val="24"/>
        </w:rPr>
      </w:pPr>
      <w:r>
        <w:rPr>
          <w:rFonts w:ascii="Tahoma" w:hAnsi="Tahoma" w:cs="Tahoma"/>
          <w:sz w:val="24"/>
          <w:szCs w:val="24"/>
        </w:rPr>
        <w:t>CALATAYUD SIERRA, Adolfo: “Consideraciones acerca de la libertad de testar”. Conferencia presentada en la Academia Sevillana del Notariado el 23 de marzo de 1995.</w:t>
      </w:r>
    </w:p>
    <w:p w14:paraId="6F099F81" w14:textId="454FD00B" w:rsidR="00BB558E" w:rsidRDefault="00BB558E" w:rsidP="00850B74">
      <w:pPr>
        <w:pStyle w:val="Prrafodelista"/>
        <w:spacing w:line="360" w:lineRule="auto"/>
        <w:ind w:left="567"/>
        <w:jc w:val="both"/>
        <w:rPr>
          <w:rFonts w:ascii="Tahoma" w:hAnsi="Tahoma" w:cs="Tahoma"/>
          <w:sz w:val="24"/>
          <w:szCs w:val="24"/>
        </w:rPr>
      </w:pPr>
      <w:r>
        <w:rPr>
          <w:rFonts w:ascii="Tahoma" w:hAnsi="Tahoma" w:cs="Tahoma"/>
          <w:sz w:val="24"/>
          <w:szCs w:val="24"/>
        </w:rPr>
        <w:t>CAPPARELLI, Julio: “¿Hacia una reforma de la legítima?”. La Ley, Buenos Aires, año LXXVII, número 178, 2013.</w:t>
      </w:r>
    </w:p>
    <w:p w14:paraId="20B774D2" w14:textId="3738A883" w:rsidR="002D1513" w:rsidRDefault="002D1513" w:rsidP="00850B74">
      <w:pPr>
        <w:pStyle w:val="Prrafodelista"/>
        <w:spacing w:line="360" w:lineRule="auto"/>
        <w:ind w:left="567"/>
        <w:jc w:val="both"/>
        <w:rPr>
          <w:rFonts w:ascii="Tahoma" w:hAnsi="Tahoma" w:cs="Tahoma"/>
          <w:sz w:val="24"/>
          <w:szCs w:val="24"/>
        </w:rPr>
      </w:pPr>
      <w:r>
        <w:rPr>
          <w:rFonts w:ascii="Tahoma" w:hAnsi="Tahoma" w:cs="Tahoma"/>
          <w:sz w:val="24"/>
          <w:szCs w:val="24"/>
        </w:rPr>
        <w:t>CARRASCO PERERA, Ángel: “Acoso y derribo de la legítima hereditaria”, Actualidad Jurídica Aranzadi, número 580, 2003.</w:t>
      </w:r>
    </w:p>
    <w:p w14:paraId="0224751F" w14:textId="33AF3637" w:rsidR="00060FCD" w:rsidRDefault="00060FCD" w:rsidP="00850B74">
      <w:pPr>
        <w:pStyle w:val="Prrafodelista"/>
        <w:spacing w:line="360" w:lineRule="auto"/>
        <w:ind w:left="567"/>
        <w:jc w:val="both"/>
        <w:rPr>
          <w:rFonts w:ascii="Tahoma" w:hAnsi="Tahoma" w:cs="Tahoma"/>
          <w:sz w:val="24"/>
          <w:szCs w:val="24"/>
        </w:rPr>
      </w:pPr>
      <w:r>
        <w:rPr>
          <w:rFonts w:ascii="Tahoma" w:hAnsi="Tahoma" w:cs="Tahoma"/>
          <w:sz w:val="24"/>
          <w:szCs w:val="24"/>
        </w:rPr>
        <w:t>CARRIO SAMPEDRO, Alberto: “Hasta que la muerte los separa. Legítima, derecho de propiedad y prohibición de disposición del titular de los bienes: un ejemplo práctico de inconsistencia normativa”, Biblioteca virtual Miguel Cervantes, 2018, páginas 301-316.</w:t>
      </w:r>
    </w:p>
    <w:p w14:paraId="456B6BEE" w14:textId="2C701A65" w:rsidR="00060FCD" w:rsidRDefault="00060FCD" w:rsidP="00850B74">
      <w:pPr>
        <w:pStyle w:val="Prrafodelista"/>
        <w:spacing w:line="360" w:lineRule="auto"/>
        <w:ind w:left="567"/>
        <w:jc w:val="both"/>
        <w:rPr>
          <w:rFonts w:ascii="Tahoma" w:hAnsi="Tahoma" w:cs="Tahoma"/>
          <w:sz w:val="24"/>
          <w:szCs w:val="24"/>
        </w:rPr>
      </w:pPr>
      <w:r>
        <w:rPr>
          <w:rFonts w:ascii="Tahoma" w:hAnsi="Tahoma" w:cs="Tahoma"/>
          <w:sz w:val="24"/>
          <w:szCs w:val="24"/>
        </w:rPr>
        <w:t>CARRIÓN OLMOS, Salvador: “Un debate abierto: ¿modificación o supresión del régimen de legítimas en el Código Civil español?”, Actualidad Jurídica Iberoamericana, 16 bis, junio 2022, páginas 3012-3039.</w:t>
      </w:r>
    </w:p>
    <w:p w14:paraId="62A1B945" w14:textId="2A042D69" w:rsidR="00BD1AB6" w:rsidRDefault="00BD1AB6" w:rsidP="00850B74">
      <w:pPr>
        <w:pStyle w:val="Prrafodelista"/>
        <w:spacing w:line="360" w:lineRule="auto"/>
        <w:ind w:left="567"/>
        <w:jc w:val="both"/>
        <w:rPr>
          <w:rFonts w:ascii="Tahoma" w:hAnsi="Tahoma" w:cs="Tahoma"/>
          <w:sz w:val="24"/>
          <w:szCs w:val="24"/>
        </w:rPr>
      </w:pPr>
      <w:r>
        <w:rPr>
          <w:rFonts w:ascii="Tahoma" w:hAnsi="Tahoma" w:cs="Tahoma"/>
          <w:sz w:val="24"/>
          <w:szCs w:val="24"/>
        </w:rPr>
        <w:t>COBAS COBIELLA, María Elena: “El sistema legitimario español. Una nueva configuración en orden a los nuevos modelos familiares”, Actualidad Jurídica Iberoamericana, número 17 bis, 2022, páginas 2404-2431.</w:t>
      </w:r>
    </w:p>
    <w:p w14:paraId="776A61B2" w14:textId="1F47796E" w:rsidR="009104D5" w:rsidRDefault="009104D5"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CUADRADO PÉREZ, Carlos: “Visión crítica del sistema de legítimas del Código Civil español”, </w:t>
      </w:r>
      <w:r w:rsidR="00514D39">
        <w:rPr>
          <w:rFonts w:ascii="Tahoma" w:hAnsi="Tahoma" w:cs="Tahoma"/>
          <w:sz w:val="24"/>
          <w:szCs w:val="24"/>
        </w:rPr>
        <w:t>R</w:t>
      </w:r>
      <w:r>
        <w:rPr>
          <w:rFonts w:ascii="Tahoma" w:hAnsi="Tahoma" w:cs="Tahoma"/>
          <w:sz w:val="24"/>
          <w:szCs w:val="24"/>
        </w:rPr>
        <w:t xml:space="preserve">evista </w:t>
      </w:r>
      <w:r w:rsidR="00514D39">
        <w:rPr>
          <w:rFonts w:ascii="Tahoma" w:hAnsi="Tahoma" w:cs="Tahoma"/>
          <w:sz w:val="24"/>
          <w:szCs w:val="24"/>
        </w:rPr>
        <w:t>C</w:t>
      </w:r>
      <w:r>
        <w:rPr>
          <w:rFonts w:ascii="Tahoma" w:hAnsi="Tahoma" w:cs="Tahoma"/>
          <w:sz w:val="24"/>
          <w:szCs w:val="24"/>
        </w:rPr>
        <w:t>rítica de Derecho Inmobiliario, número 796, 2023, páginas 725-800.</w:t>
      </w:r>
    </w:p>
    <w:p w14:paraId="604B01A7" w14:textId="6D365E22" w:rsidR="002D1513" w:rsidRDefault="002D1513" w:rsidP="002D1513">
      <w:pPr>
        <w:pStyle w:val="Prrafodelista"/>
        <w:spacing w:line="360" w:lineRule="auto"/>
        <w:ind w:left="567"/>
        <w:jc w:val="both"/>
        <w:rPr>
          <w:rFonts w:ascii="Tahoma" w:hAnsi="Tahoma" w:cs="Tahoma"/>
          <w:sz w:val="24"/>
          <w:szCs w:val="24"/>
        </w:rPr>
      </w:pPr>
      <w:r>
        <w:rPr>
          <w:rFonts w:ascii="Tahoma" w:hAnsi="Tahoma" w:cs="Tahoma"/>
          <w:sz w:val="24"/>
          <w:szCs w:val="24"/>
        </w:rPr>
        <w:t>DE BARRÓN ARNICHES, Paloma: “Libertad de testar y desheredación en los Derechos civiles españoles”, InDret, número 4, 2016, páginas 1-57.</w:t>
      </w:r>
    </w:p>
    <w:p w14:paraId="056AD7AF" w14:textId="20A11FBB" w:rsidR="002D1513" w:rsidRDefault="002D1513" w:rsidP="002D1513">
      <w:pPr>
        <w:pStyle w:val="Prrafodelista"/>
        <w:spacing w:line="360" w:lineRule="auto"/>
        <w:ind w:left="567"/>
        <w:jc w:val="both"/>
        <w:rPr>
          <w:rFonts w:ascii="Tahoma" w:hAnsi="Tahoma" w:cs="Tahoma"/>
          <w:sz w:val="24"/>
          <w:szCs w:val="24"/>
        </w:rPr>
      </w:pPr>
      <w:r>
        <w:rPr>
          <w:rFonts w:ascii="Tahoma" w:hAnsi="Tahoma" w:cs="Tahoma"/>
          <w:sz w:val="24"/>
          <w:szCs w:val="24"/>
        </w:rPr>
        <w:t>DE LA ESPERANZA RODRÍGUUEZ, Pablo: “Perspectiva de la legítima. Notas para una posible revisión”. Ciclo de conferencias sobre cuestiones de Derecho privado. Ilustre Colegio Notarial de Oviedo, 2001.</w:t>
      </w:r>
    </w:p>
    <w:p w14:paraId="50AFB91F" w14:textId="4AB62205" w:rsidR="002D1513" w:rsidRDefault="002D1513" w:rsidP="002D1513">
      <w:pPr>
        <w:pStyle w:val="Prrafodelista"/>
        <w:spacing w:line="360" w:lineRule="auto"/>
        <w:ind w:left="567"/>
        <w:jc w:val="both"/>
        <w:rPr>
          <w:rFonts w:ascii="Tahoma" w:hAnsi="Tahoma" w:cs="Tahoma"/>
          <w:sz w:val="24"/>
          <w:szCs w:val="24"/>
        </w:rPr>
      </w:pPr>
      <w:r>
        <w:rPr>
          <w:rFonts w:ascii="Tahoma" w:hAnsi="Tahoma" w:cs="Tahoma"/>
          <w:sz w:val="24"/>
          <w:szCs w:val="24"/>
        </w:rPr>
        <w:lastRenderedPageBreak/>
        <w:t xml:space="preserve">DELGADO ECHEVERRÍA, </w:t>
      </w:r>
      <w:r w:rsidR="009A5D7A">
        <w:rPr>
          <w:rFonts w:ascii="Tahoma" w:hAnsi="Tahoma" w:cs="Tahoma"/>
          <w:sz w:val="24"/>
          <w:szCs w:val="24"/>
        </w:rPr>
        <w:t>Jesús: “Orientaciones para una posible reforma del Derecho sucesorio en el Código civil español”, en AA.VV., XV Jornades de Dret Catalá a Tossa, 2008.</w:t>
      </w:r>
    </w:p>
    <w:p w14:paraId="710C44F7" w14:textId="0D9B0291" w:rsidR="00C17218" w:rsidRDefault="00C17218"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DELGADO-SÁEZ, Jésica: “Las propuestas de reforma del Código Civil español”, </w:t>
      </w:r>
      <w:r w:rsidR="00514D39">
        <w:rPr>
          <w:rFonts w:ascii="Tahoma" w:hAnsi="Tahoma" w:cs="Tahoma"/>
          <w:sz w:val="24"/>
          <w:szCs w:val="24"/>
        </w:rPr>
        <w:t>R</w:t>
      </w:r>
      <w:r>
        <w:rPr>
          <w:rFonts w:ascii="Tahoma" w:hAnsi="Tahoma" w:cs="Tahoma"/>
          <w:sz w:val="24"/>
          <w:szCs w:val="24"/>
        </w:rPr>
        <w:t xml:space="preserve">evista </w:t>
      </w:r>
      <w:r w:rsidR="00514D39">
        <w:rPr>
          <w:rFonts w:ascii="Tahoma" w:hAnsi="Tahoma" w:cs="Tahoma"/>
          <w:sz w:val="24"/>
          <w:szCs w:val="24"/>
        </w:rPr>
        <w:t>J</w:t>
      </w:r>
      <w:r>
        <w:rPr>
          <w:rFonts w:ascii="Tahoma" w:hAnsi="Tahoma" w:cs="Tahoma"/>
          <w:sz w:val="24"/>
          <w:szCs w:val="24"/>
        </w:rPr>
        <w:t>urídica de Castilla y León, número 61, febrero 2024.</w:t>
      </w:r>
    </w:p>
    <w:p w14:paraId="282F58AE" w14:textId="27F3E11A" w:rsidR="005B64A4" w:rsidRDefault="005B64A4" w:rsidP="00850B74">
      <w:pPr>
        <w:pStyle w:val="Prrafodelista"/>
        <w:spacing w:line="360" w:lineRule="auto"/>
        <w:ind w:left="567"/>
        <w:jc w:val="both"/>
        <w:rPr>
          <w:rFonts w:ascii="Tahoma" w:hAnsi="Tahoma" w:cs="Tahoma"/>
          <w:sz w:val="24"/>
          <w:szCs w:val="24"/>
        </w:rPr>
      </w:pPr>
      <w:r>
        <w:rPr>
          <w:rFonts w:ascii="Tahoma" w:hAnsi="Tahoma" w:cs="Tahoma"/>
          <w:sz w:val="24"/>
          <w:szCs w:val="24"/>
        </w:rPr>
        <w:t>ECHEVARRÍA DE RADA, María Teresa: “</w:t>
      </w:r>
      <w:r w:rsidR="00514D39">
        <w:rPr>
          <w:rFonts w:ascii="Tahoma" w:hAnsi="Tahoma" w:cs="Tahoma"/>
          <w:sz w:val="24"/>
          <w:szCs w:val="24"/>
        </w:rPr>
        <w:t xml:space="preserve">La </w:t>
      </w:r>
      <w:r w:rsidR="00514D39" w:rsidRPr="00514D39">
        <w:rPr>
          <w:rFonts w:ascii="Tahoma" w:hAnsi="Tahoma" w:cs="Tahoma"/>
          <w:i/>
          <w:iCs/>
          <w:sz w:val="24"/>
          <w:szCs w:val="24"/>
        </w:rPr>
        <w:t>cautela socini</w:t>
      </w:r>
      <w:r w:rsidR="00514D39">
        <w:rPr>
          <w:rFonts w:ascii="Tahoma" w:hAnsi="Tahoma" w:cs="Tahoma"/>
          <w:sz w:val="24"/>
          <w:szCs w:val="24"/>
        </w:rPr>
        <w:t>: revisión crítica de su concepción actual”, Revista Crítica de Derecho Inmobiliario, número 781, 2020, páginas 2583-2662.</w:t>
      </w:r>
    </w:p>
    <w:p w14:paraId="713ACD76" w14:textId="4E9927C4" w:rsidR="009A5D7A" w:rsidRDefault="009A5D7A" w:rsidP="00850B74">
      <w:pPr>
        <w:pStyle w:val="Prrafodelista"/>
        <w:spacing w:line="360" w:lineRule="auto"/>
        <w:ind w:left="567"/>
        <w:jc w:val="both"/>
        <w:rPr>
          <w:rFonts w:ascii="Tahoma" w:hAnsi="Tahoma" w:cs="Tahoma"/>
          <w:sz w:val="24"/>
          <w:szCs w:val="24"/>
        </w:rPr>
      </w:pPr>
      <w:r>
        <w:rPr>
          <w:rFonts w:ascii="Tahoma" w:hAnsi="Tahoma" w:cs="Tahoma"/>
          <w:sz w:val="24"/>
          <w:szCs w:val="24"/>
        </w:rPr>
        <w:t>“La ausencia de relación familiar como causa autónoma de desheredación de hijos y descendientes”, La Ley, Derecho de familia, número 22, 2019.</w:t>
      </w:r>
    </w:p>
    <w:p w14:paraId="1D89FB52" w14:textId="0DACB687" w:rsidR="009A5D7A" w:rsidRDefault="009A5D7A"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EGUSQUINZA BALMASEDA, </w:t>
      </w:r>
      <w:r w:rsidR="003B1CB6">
        <w:rPr>
          <w:rFonts w:ascii="Tahoma" w:hAnsi="Tahoma" w:cs="Tahoma"/>
          <w:sz w:val="24"/>
          <w:szCs w:val="24"/>
        </w:rPr>
        <w:t xml:space="preserve">María Ángeles: </w:t>
      </w:r>
      <w:r w:rsidR="00237DD4">
        <w:rPr>
          <w:rFonts w:ascii="Tahoma" w:hAnsi="Tahoma" w:cs="Tahoma"/>
          <w:sz w:val="24"/>
          <w:szCs w:val="24"/>
        </w:rPr>
        <w:t>“Sucesión mortis causa de la  familia recompuesta (de la reserva vidual a la fiducia sucesoria)”, Thomson Reuters-Aranzadi, Navarra, 2015.</w:t>
      </w:r>
    </w:p>
    <w:p w14:paraId="6041F48F" w14:textId="4B2E0B68" w:rsidR="00237DD4" w:rsidRDefault="00237DD4" w:rsidP="00850B74">
      <w:pPr>
        <w:pStyle w:val="Prrafodelista"/>
        <w:spacing w:line="360" w:lineRule="auto"/>
        <w:ind w:left="567"/>
        <w:jc w:val="both"/>
        <w:rPr>
          <w:rFonts w:ascii="Tahoma" w:hAnsi="Tahoma" w:cs="Tahoma"/>
          <w:sz w:val="24"/>
          <w:szCs w:val="24"/>
        </w:rPr>
      </w:pPr>
      <w:r>
        <w:rPr>
          <w:rFonts w:ascii="Tahoma" w:hAnsi="Tahoma" w:cs="Tahoma"/>
          <w:sz w:val="24"/>
          <w:szCs w:val="24"/>
        </w:rPr>
        <w:t>ESPEJO LERDO DE TEJADA, Manuel: “Tendencias reformistas en el Derecho español de sucesiones. Especial consideración al caso de las legítimas”, Col.legi de Notaris de Catalunya, Wolters Kluwer, Madrid, 2020.</w:t>
      </w:r>
    </w:p>
    <w:p w14:paraId="4F513762" w14:textId="5CD31090" w:rsidR="006A6561" w:rsidRDefault="006A6561"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ESQUIVEL ZAMBRANO, Violeta Francia: “La institución de la legítima frente a la libertad de testar. Estudio para una futura reforma”, </w:t>
      </w:r>
      <w:hyperlink r:id="rId8" w:history="1">
        <w:r w:rsidRPr="009555A6">
          <w:rPr>
            <w:rStyle w:val="Hipervnculo"/>
            <w:rFonts w:ascii="Tahoma" w:hAnsi="Tahoma" w:cs="Tahoma"/>
            <w:sz w:val="24"/>
            <w:szCs w:val="24"/>
          </w:rPr>
          <w:t>www.elderecho.com</w:t>
        </w:r>
      </w:hyperlink>
      <w:r>
        <w:rPr>
          <w:rFonts w:ascii="Tahoma" w:hAnsi="Tahoma" w:cs="Tahoma"/>
          <w:sz w:val="24"/>
          <w:szCs w:val="24"/>
        </w:rPr>
        <w:t>, 2022.</w:t>
      </w:r>
    </w:p>
    <w:p w14:paraId="34878396" w14:textId="166B092C" w:rsidR="00BA5000" w:rsidRDefault="00BA5000" w:rsidP="00850B74">
      <w:pPr>
        <w:pStyle w:val="Prrafodelista"/>
        <w:spacing w:line="360" w:lineRule="auto"/>
        <w:ind w:left="567"/>
        <w:jc w:val="both"/>
        <w:rPr>
          <w:rFonts w:ascii="Tahoma" w:hAnsi="Tahoma" w:cs="Tahoma"/>
          <w:sz w:val="24"/>
          <w:szCs w:val="24"/>
        </w:rPr>
      </w:pPr>
      <w:r>
        <w:rPr>
          <w:rFonts w:ascii="Tahoma" w:hAnsi="Tahoma" w:cs="Tahoma"/>
          <w:sz w:val="24"/>
          <w:szCs w:val="24"/>
        </w:rPr>
        <w:t>ESTRADA FLORES, Isis del Carmen: “Libertad de testar, legítima y solidaridad intergeneracional: las legítimas alimentarias en el Derecho Comparado”, tesis doctoral dirigida por Antoni Vaquer Aloy, 2015, tesis en acceso abierto.</w:t>
      </w:r>
    </w:p>
    <w:p w14:paraId="12D4FA0A" w14:textId="4605FD8A" w:rsidR="00645B8C" w:rsidRDefault="00645B8C"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FERNÁNDEZ MALDONADO, María Adoración: “¡Basta de resignación!: La insoportable legítima sucesoria del Código Civil”, en </w:t>
      </w:r>
      <w:hyperlink r:id="rId9" w:history="1">
        <w:r w:rsidRPr="0050131C">
          <w:rPr>
            <w:rStyle w:val="Hipervnculo"/>
            <w:rFonts w:ascii="Tahoma" w:hAnsi="Tahoma" w:cs="Tahoma"/>
            <w:sz w:val="24"/>
            <w:szCs w:val="24"/>
          </w:rPr>
          <w:t>www.notariosyregistradores.com</w:t>
        </w:r>
      </w:hyperlink>
      <w:r>
        <w:rPr>
          <w:rFonts w:ascii="Tahoma" w:hAnsi="Tahoma" w:cs="Tahoma"/>
          <w:sz w:val="24"/>
          <w:szCs w:val="24"/>
        </w:rPr>
        <w:t xml:space="preserve"> (24-mayo-2023).</w:t>
      </w:r>
    </w:p>
    <w:p w14:paraId="36AE1203" w14:textId="4364B604" w:rsidR="00FF5031" w:rsidRDefault="00FF5031"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GAGO SIMARRO, Clara: “La igualdad de los hijos en los distintos derechos sucesorios”, en “derechos y obligaciones en el </w:t>
      </w:r>
      <w:r w:rsidR="00192944">
        <w:rPr>
          <w:rFonts w:ascii="Tahoma" w:hAnsi="Tahoma" w:cs="Tahoma"/>
          <w:sz w:val="24"/>
          <w:szCs w:val="24"/>
        </w:rPr>
        <w:t>E</w:t>
      </w:r>
      <w:r>
        <w:rPr>
          <w:rFonts w:ascii="Tahoma" w:hAnsi="Tahoma" w:cs="Tahoma"/>
          <w:sz w:val="24"/>
          <w:szCs w:val="24"/>
        </w:rPr>
        <w:t xml:space="preserve">stado de </w:t>
      </w:r>
      <w:r w:rsidR="00192944">
        <w:rPr>
          <w:rFonts w:ascii="Tahoma" w:hAnsi="Tahoma" w:cs="Tahoma"/>
          <w:sz w:val="24"/>
          <w:szCs w:val="24"/>
        </w:rPr>
        <w:t>D</w:t>
      </w:r>
      <w:r>
        <w:rPr>
          <w:rFonts w:ascii="Tahoma" w:hAnsi="Tahoma" w:cs="Tahoma"/>
          <w:sz w:val="24"/>
          <w:szCs w:val="24"/>
        </w:rPr>
        <w:t>erecho”, actas del IIII coloquio binacional México-España, 2017, páginas 529-537.</w:t>
      </w:r>
    </w:p>
    <w:p w14:paraId="4EB2D687" w14:textId="283C91B2" w:rsidR="00113C4F" w:rsidRDefault="00113C4F"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GINISTY, Jean-Claude: “La reforma del Derecho de sucesiones en Francia”, Revista “El Notario del Siglo XXI”, </w:t>
      </w:r>
      <w:r w:rsidR="00E6134F">
        <w:rPr>
          <w:rFonts w:ascii="Tahoma" w:hAnsi="Tahoma" w:cs="Tahoma"/>
          <w:sz w:val="24"/>
          <w:szCs w:val="24"/>
        </w:rPr>
        <w:t>número 26, julio-agosto 2009.</w:t>
      </w:r>
    </w:p>
    <w:p w14:paraId="68918BEA" w14:textId="07C56AAF" w:rsidR="00237DD4" w:rsidRDefault="00237DD4" w:rsidP="00850B74">
      <w:pPr>
        <w:pStyle w:val="Prrafodelista"/>
        <w:spacing w:line="360" w:lineRule="auto"/>
        <w:ind w:left="567"/>
        <w:jc w:val="both"/>
        <w:rPr>
          <w:rFonts w:ascii="Tahoma" w:hAnsi="Tahoma" w:cs="Tahoma"/>
          <w:sz w:val="24"/>
          <w:szCs w:val="24"/>
        </w:rPr>
      </w:pPr>
      <w:r>
        <w:rPr>
          <w:rFonts w:ascii="Tahoma" w:hAnsi="Tahoma" w:cs="Tahoma"/>
          <w:sz w:val="24"/>
          <w:szCs w:val="24"/>
        </w:rPr>
        <w:lastRenderedPageBreak/>
        <w:t>GALICIA AIZPURUA, Gorka: “En torno a la revisión de las legítimas: casos vasco y estatal”, InDret, número 4, 2017, páginas 1-31.</w:t>
      </w:r>
    </w:p>
    <w:p w14:paraId="7926708D" w14:textId="676F6238" w:rsidR="00BA5000" w:rsidRDefault="00BA5000" w:rsidP="00850B74">
      <w:pPr>
        <w:pStyle w:val="Prrafodelista"/>
        <w:spacing w:line="360" w:lineRule="auto"/>
        <w:ind w:left="567"/>
        <w:jc w:val="both"/>
        <w:rPr>
          <w:rFonts w:ascii="Tahoma" w:hAnsi="Tahoma" w:cs="Tahoma"/>
          <w:sz w:val="24"/>
          <w:szCs w:val="24"/>
        </w:rPr>
      </w:pPr>
      <w:r>
        <w:rPr>
          <w:rFonts w:ascii="Tahoma" w:hAnsi="Tahoma" w:cs="Tahoma"/>
          <w:sz w:val="24"/>
          <w:szCs w:val="24"/>
        </w:rPr>
        <w:t>GARCÍA GOLDAR, Mónica: “Las legítimas en los Derechos autonómicos y su reforma en el Código Civil”, Andavira, 2020.</w:t>
      </w:r>
    </w:p>
    <w:p w14:paraId="301BA674" w14:textId="329D9CB1" w:rsidR="00237DD4" w:rsidRDefault="00237DD4"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GARCÍA RUBIO, </w:t>
      </w:r>
      <w:r w:rsidR="00186EE2">
        <w:rPr>
          <w:rFonts w:ascii="Tahoma" w:hAnsi="Tahoma" w:cs="Tahoma"/>
          <w:sz w:val="24"/>
          <w:szCs w:val="24"/>
        </w:rPr>
        <w:t>María Paz: “Legítimas en el Derecho español. Diversidad, complejidad y retos que planean sobre la legítima del Código Civil”, en Barba, V. Y Pérez L. (coordinadores), “Los desafíos contemporáneos de la legítima hereditaria”, Olejnik, Santiago de Chile, 2021, páginas 23-57.</w:t>
      </w:r>
    </w:p>
    <w:p w14:paraId="3D1207C4" w14:textId="2155EFB7" w:rsidR="00855CFD" w:rsidRDefault="00855CFD"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GUTIÉRREZ-ALVIZ Y CONRADI, Pablo: “La legítima no es intocable”, </w:t>
      </w:r>
      <w:r w:rsidR="002E069A">
        <w:rPr>
          <w:rFonts w:ascii="Tahoma" w:hAnsi="Tahoma" w:cs="Tahoma"/>
          <w:sz w:val="24"/>
          <w:szCs w:val="24"/>
        </w:rPr>
        <w:t>R</w:t>
      </w:r>
      <w:r>
        <w:rPr>
          <w:rFonts w:ascii="Tahoma" w:hAnsi="Tahoma" w:cs="Tahoma"/>
          <w:sz w:val="24"/>
          <w:szCs w:val="24"/>
        </w:rPr>
        <w:t>evista “</w:t>
      </w:r>
      <w:r w:rsidR="002E069A">
        <w:rPr>
          <w:rFonts w:ascii="Tahoma" w:hAnsi="Tahoma" w:cs="Tahoma"/>
          <w:sz w:val="24"/>
          <w:szCs w:val="24"/>
        </w:rPr>
        <w:t>E</w:t>
      </w:r>
      <w:r>
        <w:rPr>
          <w:rFonts w:ascii="Tahoma" w:hAnsi="Tahoma" w:cs="Tahoma"/>
          <w:sz w:val="24"/>
          <w:szCs w:val="24"/>
        </w:rPr>
        <w:t xml:space="preserve">l </w:t>
      </w:r>
      <w:r w:rsidR="002E069A">
        <w:rPr>
          <w:rFonts w:ascii="Tahoma" w:hAnsi="Tahoma" w:cs="Tahoma"/>
          <w:sz w:val="24"/>
          <w:szCs w:val="24"/>
        </w:rPr>
        <w:t>N</w:t>
      </w:r>
      <w:r>
        <w:rPr>
          <w:rFonts w:ascii="Tahoma" w:hAnsi="Tahoma" w:cs="Tahoma"/>
          <w:sz w:val="24"/>
          <w:szCs w:val="24"/>
        </w:rPr>
        <w:t>otario del siglo XXI”, número 24, 2009.</w:t>
      </w:r>
    </w:p>
    <w:p w14:paraId="1FE126C5" w14:textId="0E9D2145" w:rsidR="00BB558E" w:rsidRDefault="00BB558E"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GOMÁ LANZÓN, Fernando: “Propuestas de reforma legislativa en materia de legítimas”, en el blog </w:t>
      </w:r>
      <w:hyperlink r:id="rId10" w:history="1">
        <w:r w:rsidR="00855CFD" w:rsidRPr="009555A6">
          <w:rPr>
            <w:rStyle w:val="Hipervnculo"/>
            <w:rFonts w:ascii="Tahoma" w:hAnsi="Tahoma" w:cs="Tahoma"/>
            <w:sz w:val="24"/>
            <w:szCs w:val="24"/>
          </w:rPr>
          <w:t>www.hayderecho.com</w:t>
        </w:r>
      </w:hyperlink>
      <w:r w:rsidR="00855CFD">
        <w:rPr>
          <w:rFonts w:ascii="Tahoma" w:hAnsi="Tahoma" w:cs="Tahoma"/>
          <w:sz w:val="24"/>
          <w:szCs w:val="24"/>
        </w:rPr>
        <w:t>, 2018.</w:t>
      </w:r>
    </w:p>
    <w:p w14:paraId="5EE5C25D" w14:textId="0024A958" w:rsidR="008405DD" w:rsidRDefault="008405DD" w:rsidP="00850B74">
      <w:pPr>
        <w:pStyle w:val="Prrafodelista"/>
        <w:spacing w:line="360" w:lineRule="auto"/>
        <w:ind w:left="567"/>
        <w:jc w:val="both"/>
        <w:rPr>
          <w:rFonts w:ascii="Tahoma" w:hAnsi="Tahoma" w:cs="Tahoma"/>
          <w:sz w:val="24"/>
          <w:szCs w:val="24"/>
        </w:rPr>
      </w:pPr>
      <w:r>
        <w:rPr>
          <w:rFonts w:ascii="Tahoma" w:hAnsi="Tahoma" w:cs="Tahoma"/>
          <w:sz w:val="24"/>
          <w:szCs w:val="24"/>
        </w:rPr>
        <w:t>GOMÁ LANZÓN, Ignacio: “¿Tienen sentido las legítimas en el siglo XXI?, en “Las legítimas y la libertad de testar”, Perfiles críticos y comparados, 2019, páginas 61-76.</w:t>
      </w:r>
    </w:p>
    <w:p w14:paraId="4A3BB35A" w14:textId="18C32EDD" w:rsidR="008B6303" w:rsidRDefault="008B6303"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LÓPEZ PEDREIRA, Adela: “¿Se está modificando el régimen de legítimas en el Código Civil español?, </w:t>
      </w:r>
      <w:r w:rsidR="002A034D">
        <w:rPr>
          <w:rFonts w:ascii="Tahoma" w:hAnsi="Tahoma" w:cs="Tahoma"/>
          <w:sz w:val="24"/>
          <w:szCs w:val="24"/>
        </w:rPr>
        <w:t>Fundamentos Romanísticos del Derecho Contemporáneo, Tomo VIII, Coimbra, 2005, páginas 2451-2468.</w:t>
      </w:r>
    </w:p>
    <w:p w14:paraId="6D2D5A01" w14:textId="25F62F9F" w:rsidR="008405DD" w:rsidRDefault="008405DD" w:rsidP="00850B74">
      <w:pPr>
        <w:pStyle w:val="Prrafodelista"/>
        <w:spacing w:line="360" w:lineRule="auto"/>
        <w:ind w:left="567"/>
        <w:jc w:val="both"/>
        <w:rPr>
          <w:rFonts w:ascii="Tahoma" w:hAnsi="Tahoma" w:cs="Tahoma"/>
          <w:sz w:val="24"/>
          <w:szCs w:val="24"/>
        </w:rPr>
      </w:pPr>
      <w:r>
        <w:rPr>
          <w:rFonts w:ascii="Tahoma" w:hAnsi="Tahoma" w:cs="Tahoma"/>
          <w:sz w:val="24"/>
          <w:szCs w:val="24"/>
        </w:rPr>
        <w:t>LLEDÓ YAGÜE, Francisco y MONJE BALMASEDA, Óscar: “Reforma del sistema legitimario y el principio de libertad de testar”, en “El patrimonio sucesorio. Reflexiones para un debate reformista”, volumen 1, Dykinson, Madrid, 2014, páginas 649-718.</w:t>
      </w:r>
    </w:p>
    <w:p w14:paraId="082417BD" w14:textId="1FD5055E" w:rsidR="00BB558E" w:rsidRDefault="00BB558E" w:rsidP="00850B74">
      <w:pPr>
        <w:pStyle w:val="Prrafodelista"/>
        <w:spacing w:line="360" w:lineRule="auto"/>
        <w:ind w:left="567"/>
        <w:jc w:val="both"/>
        <w:rPr>
          <w:rFonts w:ascii="Tahoma" w:hAnsi="Tahoma" w:cs="Tahoma"/>
          <w:sz w:val="24"/>
          <w:szCs w:val="24"/>
        </w:rPr>
      </w:pPr>
      <w:r>
        <w:rPr>
          <w:rFonts w:ascii="Tahoma" w:hAnsi="Tahoma" w:cs="Tahoma"/>
          <w:sz w:val="24"/>
          <w:szCs w:val="24"/>
        </w:rPr>
        <w:t>MAGARIÑOS BLANCO, Victorio: “Libertad para ordenar la sucesión; libertad de testar”, Dickynson, Fundación Notariado, 2022.</w:t>
      </w:r>
    </w:p>
    <w:p w14:paraId="2ACAEED9" w14:textId="61E6144C" w:rsidR="002D1321" w:rsidRDefault="002D1321" w:rsidP="00850B74">
      <w:pPr>
        <w:pStyle w:val="Prrafodelista"/>
        <w:spacing w:line="360" w:lineRule="auto"/>
        <w:ind w:left="567"/>
        <w:jc w:val="both"/>
        <w:rPr>
          <w:rFonts w:ascii="Tahoma" w:hAnsi="Tahoma" w:cs="Tahoma"/>
          <w:sz w:val="24"/>
          <w:szCs w:val="24"/>
        </w:rPr>
      </w:pPr>
      <w:r>
        <w:rPr>
          <w:rFonts w:ascii="Tahoma" w:hAnsi="Tahoma" w:cs="Tahoma"/>
          <w:sz w:val="24"/>
          <w:szCs w:val="24"/>
        </w:rPr>
        <w:t>MÉNDEZ MARTOS, Juan Ramón: “La desheredación en el ordenamiento jurídico español y la flexibilización de sus causas”, revista de estudios jurídicos y criminológicos, número 3, 2021, páginas 19-64.</w:t>
      </w:r>
    </w:p>
    <w:p w14:paraId="08D2293E" w14:textId="59DBE722" w:rsidR="008405DD" w:rsidRDefault="008405DD" w:rsidP="00850B74">
      <w:pPr>
        <w:pStyle w:val="Prrafodelista"/>
        <w:spacing w:line="360" w:lineRule="auto"/>
        <w:ind w:left="567"/>
        <w:jc w:val="both"/>
        <w:rPr>
          <w:rFonts w:ascii="Tahoma" w:hAnsi="Tahoma" w:cs="Tahoma"/>
          <w:sz w:val="24"/>
          <w:szCs w:val="24"/>
        </w:rPr>
      </w:pPr>
      <w:r>
        <w:rPr>
          <w:rFonts w:ascii="Tahoma" w:hAnsi="Tahoma" w:cs="Tahoma"/>
          <w:sz w:val="24"/>
          <w:szCs w:val="24"/>
        </w:rPr>
        <w:t>OÑATE CUADROS, Francisco Javier: “Una oportunidad perdida: reformas necesarias en el Código Civil para las personas con discapacidad en el ámbito sucesorio”, en “La reforma de la discapacidad”, Fundación Notariado, volumen, 2, 2022, páginas 463-508.</w:t>
      </w:r>
    </w:p>
    <w:p w14:paraId="7BC6B495" w14:textId="19025011" w:rsidR="006A6561" w:rsidRDefault="006A6561" w:rsidP="00850B74">
      <w:pPr>
        <w:pStyle w:val="Prrafodelista"/>
        <w:spacing w:line="360" w:lineRule="auto"/>
        <w:ind w:left="567"/>
        <w:jc w:val="both"/>
        <w:rPr>
          <w:rFonts w:ascii="Tahoma" w:hAnsi="Tahoma" w:cs="Tahoma"/>
          <w:sz w:val="24"/>
          <w:szCs w:val="24"/>
        </w:rPr>
      </w:pPr>
      <w:r>
        <w:rPr>
          <w:rFonts w:ascii="Tahoma" w:hAnsi="Tahoma" w:cs="Tahoma"/>
          <w:sz w:val="24"/>
          <w:szCs w:val="24"/>
        </w:rPr>
        <w:lastRenderedPageBreak/>
        <w:t xml:space="preserve">PARRA LUCÁN, María Ángeles: “Legítimas, libertad de testar y transmisión de un patrimonio”, Foro Galego, </w:t>
      </w:r>
      <w:r w:rsidR="002E069A">
        <w:rPr>
          <w:rFonts w:ascii="Tahoma" w:hAnsi="Tahoma" w:cs="Tahoma"/>
          <w:sz w:val="24"/>
          <w:szCs w:val="24"/>
        </w:rPr>
        <w:t>R</w:t>
      </w:r>
      <w:r>
        <w:rPr>
          <w:rFonts w:ascii="Tahoma" w:hAnsi="Tahoma" w:cs="Tahoma"/>
          <w:sz w:val="24"/>
          <w:szCs w:val="24"/>
        </w:rPr>
        <w:t xml:space="preserve">evista </w:t>
      </w:r>
      <w:r w:rsidR="002E069A">
        <w:rPr>
          <w:rFonts w:ascii="Tahoma" w:hAnsi="Tahoma" w:cs="Tahoma"/>
          <w:sz w:val="24"/>
          <w:szCs w:val="24"/>
        </w:rPr>
        <w:t>X</w:t>
      </w:r>
      <w:r>
        <w:rPr>
          <w:rFonts w:ascii="Tahoma" w:hAnsi="Tahoma" w:cs="Tahoma"/>
          <w:sz w:val="24"/>
          <w:szCs w:val="24"/>
        </w:rPr>
        <w:t>uridica, número 199, 2009, páginas</w:t>
      </w:r>
      <w:r w:rsidR="00685C60">
        <w:rPr>
          <w:rFonts w:ascii="Tahoma" w:hAnsi="Tahoma" w:cs="Tahoma"/>
          <w:sz w:val="24"/>
          <w:szCs w:val="24"/>
        </w:rPr>
        <w:t xml:space="preserve"> 481-554.</w:t>
      </w:r>
    </w:p>
    <w:p w14:paraId="187BFD5A" w14:textId="778D1E0C" w:rsidR="00BB558E" w:rsidRDefault="00BB558E" w:rsidP="00850B74">
      <w:pPr>
        <w:pStyle w:val="Prrafodelista"/>
        <w:spacing w:line="360" w:lineRule="auto"/>
        <w:ind w:left="567"/>
        <w:jc w:val="both"/>
        <w:rPr>
          <w:rFonts w:ascii="Tahoma" w:hAnsi="Tahoma" w:cs="Tahoma"/>
          <w:sz w:val="24"/>
          <w:szCs w:val="24"/>
        </w:rPr>
      </w:pPr>
      <w:r>
        <w:rPr>
          <w:rFonts w:ascii="Tahoma" w:hAnsi="Tahoma" w:cs="Tahoma"/>
          <w:sz w:val="24"/>
          <w:szCs w:val="24"/>
        </w:rPr>
        <w:t>RUBIO GARRIDO, Tomás: “Fundamentos del Derecho de Sucesiones”, Fundación Notariado, 2022.</w:t>
      </w:r>
    </w:p>
    <w:p w14:paraId="34ABD433" w14:textId="497D08CC" w:rsidR="00BB558E" w:rsidRDefault="00BB558E"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SÁNCHEZ ROMÁN, Felipe: “Estudios de Derecho Civil”, tomo </w:t>
      </w:r>
      <w:r w:rsidR="00685C60">
        <w:rPr>
          <w:rFonts w:ascii="Tahoma" w:hAnsi="Tahoma" w:cs="Tahoma"/>
          <w:sz w:val="24"/>
          <w:szCs w:val="24"/>
        </w:rPr>
        <w:t>VI</w:t>
      </w:r>
      <w:r>
        <w:rPr>
          <w:rFonts w:ascii="Tahoma" w:hAnsi="Tahoma" w:cs="Tahoma"/>
          <w:sz w:val="24"/>
          <w:szCs w:val="24"/>
        </w:rPr>
        <w:t xml:space="preserve">, </w:t>
      </w:r>
      <w:r w:rsidR="0002371A">
        <w:rPr>
          <w:rFonts w:ascii="Tahoma" w:hAnsi="Tahoma" w:cs="Tahoma"/>
          <w:sz w:val="24"/>
          <w:szCs w:val="24"/>
        </w:rPr>
        <w:t xml:space="preserve">editorial Analecta, edición </w:t>
      </w:r>
      <w:r w:rsidR="005A2200">
        <w:rPr>
          <w:rFonts w:ascii="Tahoma" w:hAnsi="Tahoma" w:cs="Tahoma"/>
          <w:sz w:val="24"/>
          <w:szCs w:val="24"/>
        </w:rPr>
        <w:t xml:space="preserve">año </w:t>
      </w:r>
      <w:r w:rsidR="0002371A">
        <w:rPr>
          <w:rFonts w:ascii="Tahoma" w:hAnsi="Tahoma" w:cs="Tahoma"/>
          <w:sz w:val="24"/>
          <w:szCs w:val="24"/>
        </w:rPr>
        <w:t>2008.</w:t>
      </w:r>
    </w:p>
    <w:p w14:paraId="256305FF" w14:textId="7A546C4D" w:rsidR="002A034D" w:rsidRDefault="002A034D" w:rsidP="00850B74">
      <w:pPr>
        <w:pStyle w:val="Prrafodelista"/>
        <w:spacing w:line="360" w:lineRule="auto"/>
        <w:ind w:left="567"/>
        <w:jc w:val="both"/>
        <w:rPr>
          <w:rFonts w:ascii="Tahoma" w:hAnsi="Tahoma" w:cs="Tahoma"/>
          <w:sz w:val="24"/>
          <w:szCs w:val="24"/>
        </w:rPr>
      </w:pPr>
      <w:r>
        <w:rPr>
          <w:rFonts w:ascii="Tahoma" w:hAnsi="Tahoma" w:cs="Tahoma"/>
          <w:sz w:val="24"/>
          <w:szCs w:val="24"/>
        </w:rPr>
        <w:t>SÁNCHEZ VIGIL DE LA VILLA, Jesús: “Legítimas y Ley 8/2021, de 2 de junio, de reforma del Código Civil en materia de discapacidad”, Revista de Derecho, Empresa y Sociedad, números 18-19, 2021, páginas 27-36.</w:t>
      </w:r>
    </w:p>
    <w:p w14:paraId="7CC84757" w14:textId="33F2E3BF" w:rsidR="00BB558E" w:rsidRDefault="00BB558E" w:rsidP="00850B74">
      <w:pPr>
        <w:pStyle w:val="Prrafodelista"/>
        <w:spacing w:line="360" w:lineRule="auto"/>
        <w:ind w:left="567"/>
        <w:jc w:val="both"/>
        <w:rPr>
          <w:rFonts w:ascii="Tahoma" w:hAnsi="Tahoma" w:cs="Tahoma"/>
          <w:sz w:val="24"/>
          <w:szCs w:val="24"/>
        </w:rPr>
      </w:pPr>
      <w:r>
        <w:rPr>
          <w:rFonts w:ascii="Tahoma" w:hAnsi="Tahoma" w:cs="Tahoma"/>
          <w:sz w:val="24"/>
          <w:szCs w:val="24"/>
        </w:rPr>
        <w:t>VALLET DE GOYTISOLO, Juan B.: “Significado jurídico social de las legítimas y de la libertad de testar”. Anuario de Derecho Civil, tomo XIX, fascículo 1, enero-marzo, 1966.</w:t>
      </w:r>
    </w:p>
    <w:p w14:paraId="6A0CDF8F" w14:textId="582D49FF" w:rsidR="00727B72" w:rsidRDefault="00727B72" w:rsidP="00850B74">
      <w:pPr>
        <w:pStyle w:val="Prrafodelista"/>
        <w:spacing w:line="360" w:lineRule="auto"/>
        <w:ind w:left="567"/>
        <w:jc w:val="both"/>
        <w:rPr>
          <w:rFonts w:ascii="Tahoma" w:hAnsi="Tahoma" w:cs="Tahoma"/>
          <w:sz w:val="24"/>
          <w:szCs w:val="24"/>
        </w:rPr>
      </w:pPr>
      <w:r>
        <w:rPr>
          <w:rFonts w:ascii="Tahoma" w:hAnsi="Tahoma" w:cs="Tahoma"/>
          <w:sz w:val="24"/>
          <w:szCs w:val="24"/>
        </w:rPr>
        <w:t xml:space="preserve">VAQUER ALOY, Antoni: </w:t>
      </w:r>
      <w:r w:rsidR="00BA5000">
        <w:rPr>
          <w:rFonts w:ascii="Tahoma" w:hAnsi="Tahoma" w:cs="Tahoma"/>
          <w:sz w:val="24"/>
          <w:szCs w:val="24"/>
        </w:rPr>
        <w:t>“Reflexiones sobre una eventual reforma de la legítima”, Revista para el Análisis del Derecho, número 3, 2007.</w:t>
      </w:r>
    </w:p>
    <w:p w14:paraId="27A0E8A3" w14:textId="0BE1335A" w:rsidR="00BA5000" w:rsidRDefault="00BA5000" w:rsidP="00850B74">
      <w:pPr>
        <w:pStyle w:val="Prrafodelista"/>
        <w:spacing w:line="360" w:lineRule="auto"/>
        <w:ind w:left="567"/>
        <w:jc w:val="both"/>
        <w:rPr>
          <w:rFonts w:ascii="Tahoma" w:hAnsi="Tahoma" w:cs="Tahoma"/>
          <w:sz w:val="24"/>
          <w:szCs w:val="24"/>
        </w:rPr>
      </w:pPr>
      <w:r>
        <w:rPr>
          <w:rFonts w:ascii="Tahoma" w:hAnsi="Tahoma" w:cs="Tahoma"/>
          <w:sz w:val="24"/>
          <w:szCs w:val="24"/>
        </w:rPr>
        <w:t>“Acerca del fundamento de la legítima”, Revista para el Análisis del Derecho, número 4, 2017.</w:t>
      </w:r>
    </w:p>
    <w:p w14:paraId="5C11E608" w14:textId="77777777" w:rsidR="00D60B6D" w:rsidRDefault="00D60B6D" w:rsidP="00850B74">
      <w:pPr>
        <w:pStyle w:val="Prrafodelista"/>
        <w:spacing w:line="360" w:lineRule="auto"/>
        <w:ind w:left="567"/>
        <w:jc w:val="both"/>
        <w:rPr>
          <w:rFonts w:ascii="Tahoma" w:hAnsi="Tahoma" w:cs="Tahoma"/>
          <w:sz w:val="24"/>
          <w:szCs w:val="24"/>
        </w:rPr>
      </w:pPr>
      <w:r>
        <w:rPr>
          <w:rFonts w:ascii="Tahoma" w:hAnsi="Tahoma" w:cs="Tahoma"/>
          <w:sz w:val="24"/>
          <w:szCs w:val="24"/>
        </w:rPr>
        <w:t>VELA SÁNCHEZ, Antonio J.: “La fijación de la donación como no colacionable y la cláusula testamentaria del pago de legítima en vida del causante: dos declaraciones de parte que el Notariado debería evitar”, Anuario de Derecho Civil, volumen 75, número 2, 2022, páginas 423-473.</w:t>
      </w:r>
    </w:p>
    <w:p w14:paraId="758ED7E3" w14:textId="2C6FE787" w:rsidR="002F45C1" w:rsidRDefault="002F45C1" w:rsidP="00850B74">
      <w:pPr>
        <w:pStyle w:val="Prrafodelista"/>
        <w:spacing w:line="360" w:lineRule="auto"/>
        <w:ind w:left="567"/>
        <w:jc w:val="both"/>
        <w:rPr>
          <w:rFonts w:ascii="Tahoma" w:hAnsi="Tahoma" w:cs="Tahoma"/>
          <w:sz w:val="24"/>
          <w:szCs w:val="24"/>
        </w:rPr>
      </w:pPr>
      <w:r>
        <w:rPr>
          <w:rFonts w:ascii="Tahoma" w:hAnsi="Tahoma" w:cs="Tahoma"/>
          <w:sz w:val="24"/>
          <w:szCs w:val="24"/>
        </w:rPr>
        <w:t>VERDERA SERVER, Rafael</w:t>
      </w:r>
      <w:r w:rsidR="00BB558E">
        <w:rPr>
          <w:rFonts w:ascii="Tahoma" w:hAnsi="Tahoma" w:cs="Tahoma"/>
          <w:sz w:val="24"/>
          <w:szCs w:val="24"/>
        </w:rPr>
        <w:t>:</w:t>
      </w:r>
      <w:r>
        <w:rPr>
          <w:rFonts w:ascii="Tahoma" w:hAnsi="Tahoma" w:cs="Tahoma"/>
          <w:sz w:val="24"/>
          <w:szCs w:val="24"/>
        </w:rPr>
        <w:t xml:space="preserve"> “</w:t>
      </w:r>
      <w:r w:rsidR="00BB558E">
        <w:rPr>
          <w:rFonts w:ascii="Tahoma" w:hAnsi="Tahoma" w:cs="Tahoma"/>
          <w:sz w:val="24"/>
          <w:szCs w:val="24"/>
        </w:rPr>
        <w:t>C</w:t>
      </w:r>
      <w:r>
        <w:rPr>
          <w:rFonts w:ascii="Tahoma" w:hAnsi="Tahoma" w:cs="Tahoma"/>
          <w:sz w:val="24"/>
          <w:szCs w:val="24"/>
        </w:rPr>
        <w:t xml:space="preserve">ontra la legítima”, Fundación Notariado, </w:t>
      </w:r>
      <w:r w:rsidR="00BB558E">
        <w:rPr>
          <w:rFonts w:ascii="Tahoma" w:hAnsi="Tahoma" w:cs="Tahoma"/>
          <w:sz w:val="24"/>
          <w:szCs w:val="24"/>
        </w:rPr>
        <w:t>2022.</w:t>
      </w:r>
    </w:p>
    <w:p w14:paraId="0688E00B" w14:textId="7AE4EDCE" w:rsidR="00516745" w:rsidRDefault="00BB558E" w:rsidP="001E75C5">
      <w:pPr>
        <w:pStyle w:val="Prrafodelista"/>
        <w:spacing w:line="360" w:lineRule="auto"/>
        <w:ind w:left="567"/>
        <w:jc w:val="both"/>
        <w:rPr>
          <w:rFonts w:ascii="Tahoma" w:hAnsi="Tahoma" w:cs="Tahoma"/>
          <w:sz w:val="24"/>
          <w:szCs w:val="24"/>
        </w:rPr>
      </w:pPr>
      <w:r>
        <w:rPr>
          <w:rFonts w:ascii="Tahoma" w:hAnsi="Tahoma" w:cs="Tahoma"/>
          <w:sz w:val="24"/>
          <w:szCs w:val="24"/>
        </w:rPr>
        <w:t>VIVES VELO DE ANTELO, María Patricia: “Razones para mantener la legítima y propuesta de regulación”, Fundación Notariado, 2024.</w:t>
      </w:r>
    </w:p>
    <w:p w14:paraId="316D5DC8" w14:textId="7C64DA1A" w:rsidR="003347FC" w:rsidRPr="00C94924" w:rsidRDefault="000C5DF5" w:rsidP="00DB373E">
      <w:pPr>
        <w:spacing w:line="360" w:lineRule="auto"/>
        <w:ind w:firstLine="708"/>
        <w:jc w:val="both"/>
        <w:rPr>
          <w:rFonts w:ascii="Tahoma" w:hAnsi="Tahoma" w:cs="Tahoma"/>
          <w:sz w:val="24"/>
          <w:szCs w:val="24"/>
        </w:rPr>
      </w:pPr>
      <w:r>
        <w:rPr>
          <w:rFonts w:ascii="Tahoma" w:hAnsi="Tahoma" w:cs="Tahoma"/>
          <w:sz w:val="24"/>
          <w:szCs w:val="24"/>
        </w:rPr>
        <w:t>-----------------------------------------------------------------------------------------</w:t>
      </w:r>
    </w:p>
    <w:sectPr w:rsidR="003347FC" w:rsidRPr="00C94924">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92CEC" w14:textId="77777777" w:rsidR="007574AC" w:rsidRDefault="007574AC" w:rsidP="003D4AF5">
      <w:pPr>
        <w:spacing w:after="0" w:line="240" w:lineRule="auto"/>
      </w:pPr>
      <w:r>
        <w:separator/>
      </w:r>
    </w:p>
  </w:endnote>
  <w:endnote w:type="continuationSeparator" w:id="0">
    <w:p w14:paraId="3C9FB209" w14:textId="77777777" w:rsidR="007574AC" w:rsidRDefault="007574AC" w:rsidP="003D4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1803637"/>
      <w:docPartObj>
        <w:docPartGallery w:val="Page Numbers (Bottom of Page)"/>
        <w:docPartUnique/>
      </w:docPartObj>
    </w:sdtPr>
    <w:sdtContent>
      <w:p w14:paraId="153BA35C" w14:textId="343F73F0" w:rsidR="00F6747A" w:rsidRDefault="00F6747A">
        <w:pPr>
          <w:pStyle w:val="Piedepgina"/>
          <w:jc w:val="center"/>
        </w:pPr>
        <w:r>
          <w:fldChar w:fldCharType="begin"/>
        </w:r>
        <w:r>
          <w:instrText>PAGE   \* MERGEFORMAT</w:instrText>
        </w:r>
        <w:r>
          <w:fldChar w:fldCharType="separate"/>
        </w:r>
        <w:r>
          <w:t>2</w:t>
        </w:r>
        <w:r>
          <w:fldChar w:fldCharType="end"/>
        </w:r>
      </w:p>
    </w:sdtContent>
  </w:sdt>
  <w:p w14:paraId="71B7E8E0" w14:textId="77777777" w:rsidR="00F6747A" w:rsidRDefault="00F674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4B9333" w14:textId="77777777" w:rsidR="007574AC" w:rsidRDefault="007574AC" w:rsidP="003D4AF5">
      <w:pPr>
        <w:spacing w:after="0" w:line="240" w:lineRule="auto"/>
      </w:pPr>
      <w:r>
        <w:separator/>
      </w:r>
    </w:p>
  </w:footnote>
  <w:footnote w:type="continuationSeparator" w:id="0">
    <w:p w14:paraId="147A14AF" w14:textId="77777777" w:rsidR="007574AC" w:rsidRDefault="007574AC" w:rsidP="003D4AF5">
      <w:pPr>
        <w:spacing w:after="0" w:line="240" w:lineRule="auto"/>
      </w:pPr>
      <w:r>
        <w:continuationSeparator/>
      </w:r>
    </w:p>
  </w:footnote>
  <w:footnote w:id="1">
    <w:p w14:paraId="2EAD7870" w14:textId="6BBA05B1" w:rsidR="003D4AF5" w:rsidRDefault="003D4AF5" w:rsidP="006A3DAF">
      <w:pPr>
        <w:pStyle w:val="Textonotapie"/>
        <w:jc w:val="both"/>
      </w:pPr>
      <w:r>
        <w:rPr>
          <w:rStyle w:val="Refdenotaalpie"/>
        </w:rPr>
        <w:footnoteRef/>
      </w:r>
      <w:r>
        <w:t xml:space="preserve"> Pueden verse más supuestos en el artículo “¡Basta de resignación!: La insoportable legítima sucesoria del Código Civil”, FERNÁNDEZ MALDONADO, María Adoración, en </w:t>
      </w:r>
      <w:hyperlink r:id="rId1" w:history="1">
        <w:r w:rsidRPr="00C03F6C">
          <w:rPr>
            <w:rStyle w:val="Hipervnculo"/>
          </w:rPr>
          <w:t>www.notariosyregistradores.com</w:t>
        </w:r>
      </w:hyperlink>
      <w:r>
        <w:t xml:space="preserve"> (2023); y </w:t>
      </w:r>
      <w:r w:rsidR="006A3DAF">
        <w:t>en “perspectiva de la legítima. Notas para una posible revisión”, ESPERANZA RODRÍGUEZ, Pablo, “Ciclo de conferencias sobre cuestiones de Derecho Privado”, Ilustre Colegio Notarial de Oviedo, 2001.</w:t>
      </w:r>
    </w:p>
  </w:footnote>
  <w:footnote w:id="2">
    <w:p w14:paraId="24376D93" w14:textId="5598CA2A" w:rsidR="00EE4B3F" w:rsidRDefault="00EE4B3F" w:rsidP="00621849">
      <w:pPr>
        <w:pStyle w:val="Textonotapie"/>
        <w:jc w:val="both"/>
      </w:pPr>
      <w:r>
        <w:rPr>
          <w:rStyle w:val="Refdenotaalpie"/>
        </w:rPr>
        <w:footnoteRef/>
      </w:r>
      <w:r>
        <w:t xml:space="preserve"> A partir de las XII Tablas, el paterfamilias es el titular único del patrimonio familiar, si bien concurren también los que se encuentran bajo su potestad. No es la consanguinidad la que atribuye derechos hereditarios, sino la agnación</w:t>
      </w:r>
      <w:r w:rsidR="00621849">
        <w:t>, siendo herederos los que, en el momento de fallecer el paterfamilias se encuentran bajo su potestad.</w:t>
      </w:r>
    </w:p>
  </w:footnote>
  <w:footnote w:id="3">
    <w:p w14:paraId="78D55D98" w14:textId="291ED200" w:rsidR="00E227A6" w:rsidRDefault="00E227A6">
      <w:pPr>
        <w:pStyle w:val="Textonotapie"/>
      </w:pPr>
      <w:r>
        <w:rPr>
          <w:rStyle w:val="Refdenotaalpie"/>
        </w:rPr>
        <w:footnoteRef/>
      </w:r>
      <w:r>
        <w:t xml:space="preserve"> La ley decenviral proclamó el principio “</w:t>
      </w:r>
      <w:r w:rsidRPr="00E227A6">
        <w:rPr>
          <w:i/>
          <w:iCs/>
        </w:rPr>
        <w:t>uti legassit suae rei, ita ius esto”.</w:t>
      </w:r>
    </w:p>
  </w:footnote>
  <w:footnote w:id="4">
    <w:p w14:paraId="130E2637" w14:textId="77777777" w:rsidR="00741D4F" w:rsidRDefault="00741D4F" w:rsidP="00741D4F">
      <w:pPr>
        <w:pStyle w:val="Textonotapie"/>
      </w:pPr>
      <w:r>
        <w:rPr>
          <w:rStyle w:val="Refdenotaalpie"/>
        </w:rPr>
        <w:footnoteRef/>
      </w:r>
      <w:r>
        <w:t xml:space="preserve"> Podían impugnar el testamento a través de la querella </w:t>
      </w:r>
      <w:r w:rsidRPr="003F7BF7">
        <w:rPr>
          <w:i/>
          <w:iCs/>
        </w:rPr>
        <w:t>inofficiosi testamenti</w:t>
      </w:r>
      <w:r>
        <w:t>.</w:t>
      </w:r>
    </w:p>
  </w:footnote>
  <w:footnote w:id="5">
    <w:p w14:paraId="481284A4" w14:textId="6743075D" w:rsidR="00E0381A" w:rsidRDefault="00E0381A">
      <w:pPr>
        <w:pStyle w:val="Textonotapie"/>
      </w:pPr>
      <w:r>
        <w:rPr>
          <w:rStyle w:val="Refdenotaalpie"/>
        </w:rPr>
        <w:footnoteRef/>
      </w:r>
      <w:r>
        <w:t xml:space="preserve"> Que se configura como “</w:t>
      </w:r>
      <w:r w:rsidRPr="00E0381A">
        <w:rPr>
          <w:i/>
          <w:iCs/>
        </w:rPr>
        <w:t>pars hereditatis</w:t>
      </w:r>
      <w:r>
        <w:t>”.</w:t>
      </w:r>
    </w:p>
  </w:footnote>
  <w:footnote w:id="6">
    <w:p w14:paraId="09743D51" w14:textId="7DE3FACE" w:rsidR="00B866FF" w:rsidRDefault="00B866FF">
      <w:pPr>
        <w:pStyle w:val="Textonotapie"/>
      </w:pPr>
      <w:r>
        <w:rPr>
          <w:rStyle w:val="Refdenotaalpie"/>
        </w:rPr>
        <w:footnoteRef/>
      </w:r>
      <w:r>
        <w:t xml:space="preserve"> Novela CXV.</w:t>
      </w:r>
    </w:p>
  </w:footnote>
  <w:footnote w:id="7">
    <w:p w14:paraId="2B8CB43D" w14:textId="3CA1253C" w:rsidR="00B866FF" w:rsidRDefault="00B866FF" w:rsidP="00B866FF">
      <w:pPr>
        <w:pStyle w:val="Textonotapie"/>
        <w:jc w:val="both"/>
      </w:pPr>
      <w:r>
        <w:rPr>
          <w:rStyle w:val="Refdenotaalpie"/>
        </w:rPr>
        <w:footnoteRef/>
      </w:r>
      <w:r>
        <w:t xml:space="preserve"> La Novela XVIII instauró una legítima de cuota variable según el número de hijos: un tercio, si concurrían menos de cuatro; y la mitad, si excedían de este número.</w:t>
      </w:r>
    </w:p>
  </w:footnote>
  <w:footnote w:id="8">
    <w:p w14:paraId="03D7A073" w14:textId="0A955B48" w:rsidR="004D2743" w:rsidRDefault="004D2743">
      <w:pPr>
        <w:pStyle w:val="Textonotapie"/>
      </w:pPr>
      <w:r>
        <w:rPr>
          <w:rStyle w:val="Refdenotaalpie"/>
        </w:rPr>
        <w:footnoteRef/>
      </w:r>
      <w:r>
        <w:t xml:space="preserve"> Se concibe como </w:t>
      </w:r>
      <w:r w:rsidRPr="004D2743">
        <w:rPr>
          <w:i/>
          <w:iCs/>
        </w:rPr>
        <w:t>“pars hereditatis</w:t>
      </w:r>
      <w:r>
        <w:t>”.</w:t>
      </w:r>
    </w:p>
  </w:footnote>
  <w:footnote w:id="9">
    <w:p w14:paraId="0CB72143" w14:textId="250D2A80" w:rsidR="002F28A2" w:rsidRDefault="002F28A2">
      <w:pPr>
        <w:pStyle w:val="Textonotapie"/>
      </w:pPr>
      <w:r>
        <w:rPr>
          <w:rStyle w:val="Refdenotaalpie"/>
        </w:rPr>
        <w:footnoteRef/>
      </w:r>
      <w:r>
        <w:t xml:space="preserve"> Años 643-644. La mejora se elevó a un tercio por Ervigio en el año 681.</w:t>
      </w:r>
    </w:p>
  </w:footnote>
  <w:footnote w:id="10">
    <w:p w14:paraId="0B3A0794" w14:textId="04487224" w:rsidR="002F28A2" w:rsidRDefault="002F28A2" w:rsidP="002F28A2">
      <w:pPr>
        <w:pStyle w:val="Textonotapie"/>
        <w:jc w:val="both"/>
      </w:pPr>
      <w:r>
        <w:rPr>
          <w:rStyle w:val="Refdenotaalpie"/>
        </w:rPr>
        <w:footnoteRef/>
      </w:r>
      <w:r>
        <w:t xml:space="preserve"> Parece que vino a poner coto a la libertad de testar a favor de extraños, recogida en el Código de Eurico.</w:t>
      </w:r>
    </w:p>
  </w:footnote>
  <w:footnote w:id="11">
    <w:p w14:paraId="05C503C8" w14:textId="250C3963" w:rsidR="00F01A56" w:rsidRDefault="00F01A56">
      <w:pPr>
        <w:pStyle w:val="Textonotapie"/>
      </w:pPr>
      <w:r>
        <w:rPr>
          <w:rStyle w:val="Refdenotaalpie"/>
        </w:rPr>
        <w:footnoteRef/>
      </w:r>
      <w:r>
        <w:t xml:space="preserve"> Si eran cuatro o menos de cuatro, les correspondía un tercio; y si eran cinco o más, la mitad.</w:t>
      </w:r>
    </w:p>
  </w:footnote>
  <w:footnote w:id="12">
    <w:p w14:paraId="65209D19" w14:textId="348122AB" w:rsidR="00F01A56" w:rsidRDefault="00F01A56" w:rsidP="00F01A56">
      <w:pPr>
        <w:pStyle w:val="Textonotapie"/>
        <w:jc w:val="both"/>
      </w:pPr>
      <w:r>
        <w:rPr>
          <w:rStyle w:val="Refdenotaalpie"/>
        </w:rPr>
        <w:footnoteRef/>
      </w:r>
      <w:r>
        <w:t xml:space="preserve"> Las Leyes de Toro de 1505 y la Novísima Recopilación de 1805 establecieron algunas correcciones, manteniendo el sistema de legítimas.</w:t>
      </w:r>
    </w:p>
  </w:footnote>
  <w:footnote w:id="13">
    <w:p w14:paraId="7B231DC5" w14:textId="262583AF" w:rsidR="00265E38" w:rsidRDefault="00265E38" w:rsidP="00265E38">
      <w:pPr>
        <w:pStyle w:val="Textonotapie"/>
        <w:jc w:val="both"/>
      </w:pPr>
      <w:r>
        <w:rPr>
          <w:rStyle w:val="Refdenotaalpie"/>
        </w:rPr>
        <w:footnoteRef/>
      </w:r>
      <w:r>
        <w:t xml:space="preserve"> Otros se basaban en la Ley 24 de Toro de 1505. En la medida en que sobrepasaban la legítima necesitaban el consentimiento del gravado o de los apartados.</w:t>
      </w:r>
    </w:p>
  </w:footnote>
  <w:footnote w:id="14">
    <w:p w14:paraId="3E55C6B6" w14:textId="2DAFA930" w:rsidR="00524DF3" w:rsidRDefault="00524DF3">
      <w:pPr>
        <w:pStyle w:val="Textonotapie"/>
      </w:pPr>
      <w:r>
        <w:rPr>
          <w:rStyle w:val="Refdenotaalpie"/>
        </w:rPr>
        <w:footnoteRef/>
      </w:r>
      <w:r>
        <w:t xml:space="preserve"> Publicado por Real Decreto de 24 de julio de 1889.</w:t>
      </w:r>
    </w:p>
  </w:footnote>
  <w:footnote w:id="15">
    <w:p w14:paraId="3A478207" w14:textId="3645582D" w:rsidR="00975B92" w:rsidRDefault="00975B92" w:rsidP="00975B92">
      <w:pPr>
        <w:pStyle w:val="Textonotapie"/>
        <w:jc w:val="both"/>
      </w:pPr>
      <w:r>
        <w:rPr>
          <w:rStyle w:val="Refdenotaalpie"/>
        </w:rPr>
        <w:footnoteRef/>
      </w:r>
      <w:r>
        <w:t xml:space="preserve"> La coexistencia de un sistema legitimario, propio de Castilla, con la libertad de testar de algunos territorios forales, y la conveniencia de establecer un sistema único, propició el debate.</w:t>
      </w:r>
    </w:p>
  </w:footnote>
  <w:footnote w:id="16">
    <w:p w14:paraId="56701C05" w14:textId="797043C7" w:rsidR="00FF6E56" w:rsidRDefault="00FF6E56" w:rsidP="00FF6E56">
      <w:pPr>
        <w:pStyle w:val="Textonotapie"/>
        <w:jc w:val="both"/>
      </w:pPr>
      <w:r>
        <w:rPr>
          <w:rStyle w:val="Refdenotaalpie"/>
        </w:rPr>
        <w:footnoteRef/>
      </w:r>
      <w:r>
        <w:t xml:space="preserve"> A lo que señalaba JOAQUIN COSTA: “Se trata sólo de una apariencia de igualdad, pues para repartir entre varios individuos de una familia una herencia con verdadera igualdad hay que tomar una base de datos tal, que apenas alcanza a lograrla la discreción del padre”.</w:t>
      </w:r>
    </w:p>
  </w:footnote>
  <w:footnote w:id="17">
    <w:p w14:paraId="0A0BBA9E" w14:textId="49FDAFA0" w:rsidR="00FF6E56" w:rsidRDefault="00FF6E56" w:rsidP="009C41F9">
      <w:pPr>
        <w:pStyle w:val="Textonotapie"/>
        <w:jc w:val="both"/>
      </w:pPr>
      <w:r>
        <w:rPr>
          <w:rStyle w:val="Refdenotaalpie"/>
        </w:rPr>
        <w:footnoteRef/>
      </w:r>
      <w:r>
        <w:t xml:space="preserve"> A lo que replicaba GINER DE LOS RÍOS: “querer sustituir la libre elección de la persona por </w:t>
      </w:r>
      <w:r w:rsidR="009C41F9">
        <w:t>temor</w:t>
      </w:r>
      <w:r>
        <w:t xml:space="preserve"> al abuso, equivale a sustituir una injusticia posible por otra segura”.</w:t>
      </w:r>
    </w:p>
  </w:footnote>
  <w:footnote w:id="18">
    <w:p w14:paraId="63F7EFDF" w14:textId="39591B40" w:rsidR="009C41F9" w:rsidRDefault="009C41F9">
      <w:pPr>
        <w:pStyle w:val="Textonotapie"/>
      </w:pPr>
      <w:r>
        <w:rPr>
          <w:rStyle w:val="Refdenotaalpie"/>
        </w:rPr>
        <w:footnoteRef/>
      </w:r>
      <w:r>
        <w:t xml:space="preserve"> AZCÁRATE rebatía este argumento citando a MONTESQUIEU, al decir “el derecho natural impone a los padres el deber de mantener a sus hijos, pero no les obliga a hacerles herederos”.</w:t>
      </w:r>
    </w:p>
  </w:footnote>
  <w:footnote w:id="19">
    <w:p w14:paraId="21A27E29" w14:textId="7FC89A4D" w:rsidR="001F06BE" w:rsidRDefault="001F06BE" w:rsidP="001F06BE">
      <w:pPr>
        <w:pStyle w:val="Textonotapie"/>
        <w:jc w:val="both"/>
      </w:pPr>
      <w:r>
        <w:rPr>
          <w:rStyle w:val="Refdenotaalpie"/>
        </w:rPr>
        <w:footnoteRef/>
      </w:r>
      <w:r>
        <w:t xml:space="preserve"> Municipios de Amurrio, O</w:t>
      </w:r>
      <w:r w:rsidR="007D1518">
        <w:t>quendo</w:t>
      </w:r>
      <w:r>
        <w:t xml:space="preserve"> y Mendieta, así como los pueblos de Retes de Tudela, Santa Coloma y Sojoguti, pertenecientes al municipio de Ar</w:t>
      </w:r>
      <w:r w:rsidR="007D1518">
        <w:t>ce</w:t>
      </w:r>
      <w:r>
        <w:t>niega</w:t>
      </w:r>
      <w:r w:rsidR="00B71BCA">
        <w:t>, todos ellos en la provincia de Álava.</w:t>
      </w:r>
    </w:p>
  </w:footnote>
  <w:footnote w:id="20">
    <w:p w14:paraId="52983868" w14:textId="167E1A5C" w:rsidR="00FD2397" w:rsidRDefault="00FD2397" w:rsidP="00FD2397">
      <w:pPr>
        <w:pStyle w:val="Textonotapie"/>
        <w:jc w:val="both"/>
      </w:pPr>
      <w:r>
        <w:rPr>
          <w:rStyle w:val="Refdenotaalpie"/>
        </w:rPr>
        <w:footnoteRef/>
      </w:r>
      <w:r>
        <w:t xml:space="preserve"> Ley 267: “</w:t>
      </w:r>
      <w:r w:rsidRPr="00FD2397">
        <w:t>La legítima navarra, tradicionalmente consistente en la atribución de “cinco sueldos ‘febles' o ‘carlines' por bienes muebles y una robada de tierra en los montes comunes por inmuebles”, no tiene contenido patrimonial exigible ni atribuye la cualidad de heredero, y el instituido en ella no responderá en ningún caso de las deudas hereditarias ni podrá ejercitar las acciones propias del heredero</w:t>
      </w:r>
      <w:r>
        <w:t>”.</w:t>
      </w:r>
    </w:p>
  </w:footnote>
  <w:footnote w:id="21">
    <w:p w14:paraId="68862218" w14:textId="2346760B" w:rsidR="00731C72" w:rsidRDefault="00731C72" w:rsidP="00731C72">
      <w:pPr>
        <w:pStyle w:val="Textonotapie"/>
        <w:jc w:val="both"/>
      </w:pPr>
      <w:r>
        <w:rPr>
          <w:rStyle w:val="Refdenotaalpie"/>
        </w:rPr>
        <w:footnoteRef/>
      </w:r>
      <w:r>
        <w:t xml:space="preserve"> Artículo 486 del Código de Derecho Foral de Aragón (Texto Refundido de las Leyes Civiles Aragonesas publicado el 22 de marzo de 2011).</w:t>
      </w:r>
    </w:p>
  </w:footnote>
  <w:footnote w:id="22">
    <w:p w14:paraId="332F7E5E" w14:textId="11E0B6B0" w:rsidR="00B71BCA" w:rsidRDefault="00B71BCA">
      <w:pPr>
        <w:pStyle w:val="Textonotapie"/>
      </w:pPr>
      <w:r>
        <w:rPr>
          <w:rStyle w:val="Refdenotaalpie"/>
        </w:rPr>
        <w:footnoteRef/>
      </w:r>
      <w:r>
        <w:t xml:space="preserve"> Prescindiendo de otros derechos sucesorios distintos de la legítima.</w:t>
      </w:r>
    </w:p>
  </w:footnote>
  <w:footnote w:id="23">
    <w:p w14:paraId="61D5BDDA" w14:textId="2A66A1EA" w:rsidR="00353020" w:rsidRDefault="00353020">
      <w:pPr>
        <w:pStyle w:val="Textonotapie"/>
      </w:pPr>
      <w:r>
        <w:rPr>
          <w:rStyle w:val="Refdenotaalpie"/>
        </w:rPr>
        <w:footnoteRef/>
      </w:r>
      <w:r>
        <w:t xml:space="preserve"> Artículo 84 CDCB.</w:t>
      </w:r>
    </w:p>
  </w:footnote>
  <w:footnote w:id="24">
    <w:p w14:paraId="45FC6A6D" w14:textId="6E9EFCD2" w:rsidR="00353020" w:rsidRDefault="00353020">
      <w:pPr>
        <w:pStyle w:val="Textonotapie"/>
      </w:pPr>
      <w:r>
        <w:rPr>
          <w:rStyle w:val="Refdenotaalpie"/>
        </w:rPr>
        <w:footnoteRef/>
      </w:r>
      <w:r>
        <w:t xml:space="preserve"> Artículo 452.1 CCCAT.</w:t>
      </w:r>
    </w:p>
  </w:footnote>
  <w:footnote w:id="25">
    <w:p w14:paraId="511CDCEF" w14:textId="20264AF2" w:rsidR="00353020" w:rsidRDefault="00353020" w:rsidP="00353020">
      <w:pPr>
        <w:pStyle w:val="Textonotapie"/>
        <w:jc w:val="both"/>
      </w:pPr>
      <w:r>
        <w:rPr>
          <w:rStyle w:val="Refdenotaalpie"/>
        </w:rPr>
        <w:footnoteRef/>
      </w:r>
      <w:r>
        <w:t xml:space="preserve"> Según la Disposición Adicional Tercera de la Ley 2/2006 de la Ley de Derecho Civil de Galicia, “t</w:t>
      </w:r>
      <w:r w:rsidRPr="00353020">
        <w:t>endrán la condición de parejas de hecho las uniones de dos personas mayores de edad, capaces, que convivan con la intención o vocación de permanencia en una relación de afectividad análoga a la conyugal y que la inscriban en el Registro de Parejas de Hecho de Galicia, expresando su voluntad de equiparar sus efectos a los del matrimonio</w:t>
      </w:r>
      <w:r>
        <w:t>”.</w:t>
      </w:r>
    </w:p>
  </w:footnote>
  <w:footnote w:id="26">
    <w:p w14:paraId="78F1269E" w14:textId="700A1DD3" w:rsidR="00353020" w:rsidRDefault="00353020">
      <w:pPr>
        <w:pStyle w:val="Textonotapie"/>
      </w:pPr>
      <w:r>
        <w:rPr>
          <w:rStyle w:val="Refdenotaalpie"/>
        </w:rPr>
        <w:footnoteRef/>
      </w:r>
      <w:r>
        <w:t xml:space="preserve"> Artículos 253 y 254 LDCG.</w:t>
      </w:r>
    </w:p>
  </w:footnote>
  <w:footnote w:id="27">
    <w:p w14:paraId="011F0389" w14:textId="272D36C9" w:rsidR="00990F23" w:rsidRDefault="00990F23" w:rsidP="00990F23">
      <w:pPr>
        <w:pStyle w:val="Textonotapie"/>
        <w:jc w:val="both"/>
      </w:pPr>
      <w:r>
        <w:rPr>
          <w:rStyle w:val="Refdenotaalpie"/>
        </w:rPr>
        <w:footnoteRef/>
      </w:r>
      <w:r>
        <w:t xml:space="preserve"> No obstante, los que tengan vecindad civil local de la Tierra de Ayala, podrán disponer libremente de sus bienes, con arreglo al artículo 89, apartando expresa o tácitamente al cónyuge o superviviente de la pareja.</w:t>
      </w:r>
    </w:p>
  </w:footnote>
  <w:footnote w:id="28">
    <w:p w14:paraId="2817A935" w14:textId="69E31947" w:rsidR="00990F23" w:rsidRDefault="00990F23">
      <w:pPr>
        <w:pStyle w:val="Textonotapie"/>
      </w:pPr>
      <w:r>
        <w:rPr>
          <w:rStyle w:val="Refdenotaalpie"/>
        </w:rPr>
        <w:footnoteRef/>
      </w:r>
      <w:r>
        <w:t xml:space="preserve"> Artículo 52 LDCV.</w:t>
      </w:r>
    </w:p>
  </w:footnote>
  <w:footnote w:id="29">
    <w:p w14:paraId="20DA8FF1" w14:textId="43850725" w:rsidR="000C2BFC" w:rsidRDefault="000C2BFC">
      <w:pPr>
        <w:pStyle w:val="Textonotapie"/>
      </w:pPr>
      <w:r>
        <w:rPr>
          <w:rStyle w:val="Refdenotaalpie"/>
        </w:rPr>
        <w:footnoteRef/>
      </w:r>
      <w:r>
        <w:t xml:space="preserve"> Artículo 274 CDFA.</w:t>
      </w:r>
    </w:p>
  </w:footnote>
  <w:footnote w:id="30">
    <w:p w14:paraId="0972EEF9" w14:textId="3AD2F390" w:rsidR="000C2BFC" w:rsidRDefault="000C2BFC" w:rsidP="000C2BFC">
      <w:pPr>
        <w:pStyle w:val="Textonotapie"/>
        <w:jc w:val="both"/>
      </w:pPr>
      <w:r>
        <w:rPr>
          <w:rStyle w:val="Refdenotaalpie"/>
        </w:rPr>
        <w:footnoteRef/>
      </w:r>
      <w:r>
        <w:t xml:space="preserve"> Artículo 311 CDFA. Además, podrá residir gratuitamente en la vivienda habitual durante el plazo de un año.</w:t>
      </w:r>
    </w:p>
  </w:footnote>
  <w:footnote w:id="31">
    <w:p w14:paraId="5CD5ACF0" w14:textId="6D8BFF60" w:rsidR="000C2BFC" w:rsidRDefault="000C2BFC">
      <w:pPr>
        <w:pStyle w:val="Textonotapie"/>
      </w:pPr>
      <w:r>
        <w:rPr>
          <w:rStyle w:val="Refdenotaalpie"/>
        </w:rPr>
        <w:footnoteRef/>
      </w:r>
      <w:r>
        <w:t xml:space="preserve"> Con exclusión de los señalados en la Ley 255.</w:t>
      </w:r>
    </w:p>
  </w:footnote>
  <w:footnote w:id="32">
    <w:p w14:paraId="69BEB102" w14:textId="11E1A890" w:rsidR="000C2BFC" w:rsidRDefault="000C2BFC">
      <w:pPr>
        <w:pStyle w:val="Textonotapie"/>
      </w:pPr>
      <w:r>
        <w:rPr>
          <w:rStyle w:val="Refdenotaalpie"/>
        </w:rPr>
        <w:footnoteRef/>
      </w:r>
      <w:r>
        <w:t xml:space="preserve"> Conforme a la Ley 113.</w:t>
      </w:r>
    </w:p>
  </w:footnote>
  <w:footnote w:id="33">
    <w:p w14:paraId="0B464890" w14:textId="091818DA" w:rsidR="000C2BFC" w:rsidRDefault="000C2BFC">
      <w:pPr>
        <w:pStyle w:val="Textonotapie"/>
      </w:pPr>
      <w:r>
        <w:rPr>
          <w:rStyle w:val="Refdenotaalpie"/>
        </w:rPr>
        <w:footnoteRef/>
      </w:r>
      <w:r>
        <w:t xml:space="preserve"> Ley 253.</w:t>
      </w:r>
    </w:p>
  </w:footnote>
  <w:footnote w:id="34">
    <w:p w14:paraId="3B173F21" w14:textId="1B307FF0" w:rsidR="00931131" w:rsidRDefault="00931131" w:rsidP="00931131">
      <w:pPr>
        <w:pStyle w:val="Textonotapie"/>
        <w:jc w:val="both"/>
      </w:pPr>
      <w:r>
        <w:rPr>
          <w:rStyle w:val="Refdenotaalpie"/>
        </w:rPr>
        <w:footnoteRef/>
      </w:r>
      <w:r>
        <w:t xml:space="preserve"> “Libertad para ordenar la sucesión. Libertad de testar”, editorial Dykinson, 2022, páginas 107-152).</w:t>
      </w:r>
    </w:p>
  </w:footnote>
  <w:footnote w:id="35">
    <w:p w14:paraId="2A2F6C4C" w14:textId="4EFB2F42" w:rsidR="00F37746" w:rsidRDefault="00F37746" w:rsidP="00417797">
      <w:pPr>
        <w:pStyle w:val="Textonotapie"/>
        <w:jc w:val="both"/>
      </w:pPr>
      <w:r>
        <w:rPr>
          <w:rStyle w:val="Refdenotaalpie"/>
        </w:rPr>
        <w:footnoteRef/>
      </w:r>
      <w:r>
        <w:t xml:space="preserve"> En la Unión Europea puede consultarse la </w:t>
      </w:r>
      <w:r w:rsidRPr="002339A8">
        <w:t>página</w:t>
      </w:r>
      <w:r w:rsidRPr="002339A8">
        <w:rPr>
          <w:i/>
          <w:iCs/>
        </w:rPr>
        <w:t xml:space="preserve"> e-justice-europa-eu</w:t>
      </w:r>
      <w:r>
        <w:t>.</w:t>
      </w:r>
      <w:r w:rsidR="00417797">
        <w:t xml:space="preserve"> En la Carta de Derechos Fundamentales de la UE se reconoce el derecho de toda persona al </w:t>
      </w:r>
      <w:r w:rsidR="005E2650">
        <w:t>“disfrute</w:t>
      </w:r>
      <w:r w:rsidR="00417797">
        <w:t xml:space="preserve"> de la propiedad de los bienes que haya adquirido legalmente, a usarlos, a disponer de ellos y a legarlos”.</w:t>
      </w:r>
    </w:p>
  </w:footnote>
  <w:footnote w:id="36">
    <w:p w14:paraId="45594FFC" w14:textId="09D18C05" w:rsidR="00447DC8" w:rsidRDefault="00447DC8">
      <w:pPr>
        <w:pStyle w:val="Textonotapie"/>
      </w:pPr>
      <w:r>
        <w:rPr>
          <w:rStyle w:val="Refdenotaalpie"/>
        </w:rPr>
        <w:footnoteRef/>
      </w:r>
      <w:r>
        <w:t xml:space="preserve"> Artículo 913 Código Civil.</w:t>
      </w:r>
    </w:p>
  </w:footnote>
  <w:footnote w:id="37">
    <w:p w14:paraId="4997A3B8" w14:textId="05CB90CA" w:rsidR="00417797" w:rsidRDefault="00417797">
      <w:pPr>
        <w:pStyle w:val="Textonotapie"/>
      </w:pPr>
      <w:r>
        <w:rPr>
          <w:rStyle w:val="Refdenotaalpie"/>
        </w:rPr>
        <w:footnoteRef/>
      </w:r>
      <w:r>
        <w:t xml:space="preserve"> También en Bélgica, tras la reforma de 2017, se suprimió la legítima de los ascendientes.</w:t>
      </w:r>
    </w:p>
  </w:footnote>
  <w:footnote w:id="38">
    <w:p w14:paraId="32B73F24" w14:textId="63CE22B8" w:rsidR="004F03DB" w:rsidRDefault="004F03DB" w:rsidP="004F03DB">
      <w:pPr>
        <w:pStyle w:val="Textonotapie"/>
        <w:jc w:val="both"/>
      </w:pPr>
      <w:r>
        <w:rPr>
          <w:rStyle w:val="Refdenotaalpie"/>
        </w:rPr>
        <w:footnoteRef/>
      </w:r>
      <w:r>
        <w:t xml:space="preserve"> Se fija la legítima en la mitad de la herencia, que, en caso de descendientes, queda reducida, si concurren con el cónyuge viudo, a 3/8, correspondiendo al cónyuge 1/8. Si el cónyuge concurre con ascendientes, la legítima de éstos es de una cuarta parte y la del cónyuge de un cuarto.</w:t>
      </w:r>
    </w:p>
  </w:footnote>
  <w:footnote w:id="39">
    <w:p w14:paraId="0D34F84A" w14:textId="267074FA" w:rsidR="004F03DB" w:rsidRDefault="004F03DB" w:rsidP="00D808C2">
      <w:pPr>
        <w:pStyle w:val="Textonotapie"/>
        <w:jc w:val="both"/>
      </w:pPr>
      <w:r>
        <w:rPr>
          <w:rStyle w:val="Refdenotaalpie"/>
        </w:rPr>
        <w:footnoteRef/>
      </w:r>
      <w:r>
        <w:t xml:space="preserve"> Cualquier heredero legitimario gravado en su cuota puede aceptarla o repudiarla y exigir la legítima sin condicionamientos. La computación de donaciones se reduce de forma progresiva, a razón de un 10% por cada año. El heredero puede obtener en juicio el aplazamiento del pago de la legítima en el caso de que el pago inmediato de esta sea de “onerosidad inequitativa”</w:t>
      </w:r>
      <w:r w:rsidR="00D808C2">
        <w:t>. Los descendientes que hubiesen atendido al causante durante un largo periodo de tiempo tienen derecho a exigir la colación de los gastos a los descendientes que concurran a la partición.</w:t>
      </w:r>
    </w:p>
  </w:footnote>
  <w:footnote w:id="40">
    <w:p w14:paraId="7B582A16" w14:textId="1872A36B" w:rsidR="001B20D1" w:rsidRDefault="001B20D1" w:rsidP="00E44609">
      <w:pPr>
        <w:pStyle w:val="Textonotapie"/>
        <w:jc w:val="both"/>
      </w:pPr>
      <w:r>
        <w:rPr>
          <w:rStyle w:val="Refdenotaalpie"/>
        </w:rPr>
        <w:footnoteRef/>
      </w:r>
      <w:r>
        <w:t xml:space="preserve"> La legítima del cónyuge y de los hijos es de dos tercios de la herencia; si el causante no deja descendientes ni ascendientes, la legítima del cónyuge</w:t>
      </w:r>
      <w:r w:rsidR="00BD042D">
        <w:t xml:space="preserve"> es</w:t>
      </w:r>
      <w:r>
        <w:t xml:space="preserve"> la mitad de la herencia;</w:t>
      </w:r>
      <w:r w:rsidR="00E44609">
        <w:t xml:space="preserve"> </w:t>
      </w:r>
      <w:r>
        <w:t>si el causante no deja cónyuge, pero sí hijos, la legítima corresponde a la mitad de la herencia, en caso de que exista un único hijo, y a dos tercios de la herencia en caso de que existan dos hijos o más;</w:t>
      </w:r>
      <w:r w:rsidR="00E44609">
        <w:t xml:space="preserve"> </w:t>
      </w:r>
      <w:r>
        <w:t>la legítima de los descendientes en segundo grado y siguientes es la que correspondería a su ascendiente;</w:t>
      </w:r>
      <w:r w:rsidR="00E44609">
        <w:t xml:space="preserve"> </w:t>
      </w:r>
      <w:r>
        <w:t>si no hubiese descendientes, la legítima del cónyuge y de los ascendientes es de dos tercios de la herencia;</w:t>
      </w:r>
      <w:r w:rsidR="00E44609">
        <w:t xml:space="preserve"> </w:t>
      </w:r>
      <w:r>
        <w:t>si no hubiese descendientes ni cónyuge supérstite, la legítima de los padres es la mitad de la herencia; si se llamase a los ascendientes en segundo grado y siguientes, la legítima correspondiente es de un tercio de la herencia.</w:t>
      </w:r>
    </w:p>
  </w:footnote>
  <w:footnote w:id="41">
    <w:p w14:paraId="2506EDBE" w14:textId="096B2027" w:rsidR="00EB2709" w:rsidRDefault="00EB2709">
      <w:pPr>
        <w:pStyle w:val="Textonotapie"/>
      </w:pPr>
      <w:r>
        <w:rPr>
          <w:rStyle w:val="Refdenotaalpie"/>
        </w:rPr>
        <w:footnoteRef/>
      </w:r>
      <w:r>
        <w:t xml:space="preserve"> También en otros países de su entorno, como Lituania y Eslovenia.</w:t>
      </w:r>
    </w:p>
  </w:footnote>
  <w:footnote w:id="42">
    <w:p w14:paraId="557709DD" w14:textId="33E6270B" w:rsidR="00393AC5" w:rsidRDefault="00393AC5" w:rsidP="00393AC5">
      <w:pPr>
        <w:pStyle w:val="Textonotapie"/>
        <w:jc w:val="both"/>
      </w:pPr>
      <w:r>
        <w:rPr>
          <w:rStyle w:val="Refdenotaalpie"/>
        </w:rPr>
        <w:footnoteRef/>
      </w:r>
      <w:r>
        <w:t xml:space="preserve"> Como señala BERNARD MAINAR, Rafael, “reflexiones sobre la conservación o supresión de la cuota legítima en la futura reforma de sucesiones del Código Civil”, Actualidad jurídica iberoamericana, número 10, 2019, página 400.</w:t>
      </w:r>
    </w:p>
  </w:footnote>
  <w:footnote w:id="43">
    <w:p w14:paraId="19644C07" w14:textId="71204492" w:rsidR="00937A6E" w:rsidRDefault="00937A6E" w:rsidP="00937A6E">
      <w:pPr>
        <w:pStyle w:val="Textonotapie"/>
        <w:jc w:val="both"/>
      </w:pPr>
      <w:r>
        <w:rPr>
          <w:rStyle w:val="Refdenotaalpie"/>
        </w:rPr>
        <w:footnoteRef/>
      </w:r>
      <w:r>
        <w:t xml:space="preserve"> El Derecho escocés reconoce a los hijos y al cónyuge o pareja registrada supérstites ciertos derechos (</w:t>
      </w:r>
      <w:r w:rsidRPr="00937A6E">
        <w:rPr>
          <w:i/>
          <w:iCs/>
        </w:rPr>
        <w:t>legal rights</w:t>
      </w:r>
      <w:r>
        <w:t xml:space="preserve">): en el caso de los hijos, una tercera parte de los </w:t>
      </w:r>
      <w:r w:rsidRPr="00937A6E">
        <w:rPr>
          <w:i/>
          <w:iCs/>
        </w:rPr>
        <w:t>bienes muebles</w:t>
      </w:r>
      <w:r>
        <w:t xml:space="preserve"> del causante, si hay un cónyuge o pareja registrada supérstites, y la mitad de dichos bienes, en caso contrario. En el caso del cónyuge o pareja registrada supérstites, es un tercio de los </w:t>
      </w:r>
      <w:r w:rsidRPr="00937A6E">
        <w:rPr>
          <w:i/>
          <w:iCs/>
        </w:rPr>
        <w:t>bienes muebles</w:t>
      </w:r>
      <w:r>
        <w:t>, si hay hijos, y la mitad, en caso contrario.</w:t>
      </w:r>
    </w:p>
  </w:footnote>
  <w:footnote w:id="44">
    <w:p w14:paraId="5766E3C9" w14:textId="02D0BEE4" w:rsidR="001A2314" w:rsidRDefault="001A2314" w:rsidP="001A2314">
      <w:pPr>
        <w:pStyle w:val="Textonotapie"/>
        <w:jc w:val="both"/>
      </w:pPr>
      <w:r>
        <w:rPr>
          <w:rStyle w:val="Refdenotaalpie"/>
        </w:rPr>
        <w:footnoteRef/>
      </w:r>
      <w:r>
        <w:t xml:space="preserve"> Quizá el argumento más antiguo: es natural que los padres quieran a los hijos y que, por tanto, los hijos hereden a sus padres.</w:t>
      </w:r>
    </w:p>
  </w:footnote>
  <w:footnote w:id="45">
    <w:p w14:paraId="77AB102A" w14:textId="0A570502" w:rsidR="00BB267C" w:rsidRDefault="00BB267C" w:rsidP="00E51816">
      <w:pPr>
        <w:pStyle w:val="Textonotapie"/>
        <w:jc w:val="both"/>
      </w:pPr>
      <w:r>
        <w:rPr>
          <w:rStyle w:val="Refdenotaalpie"/>
        </w:rPr>
        <w:footnoteRef/>
      </w:r>
      <w:r>
        <w:t xml:space="preserve"> CIMBALLI, de una forma más amplia, señalaba que </w:t>
      </w:r>
      <w:r w:rsidR="00E51816">
        <w:t xml:space="preserve">en </w:t>
      </w:r>
      <w:r>
        <w:t>la constitución de la propiedad prevalece el elemento social (familia</w:t>
      </w:r>
      <w:r w:rsidR="00E51816">
        <w:t xml:space="preserve"> y sociedad), pero en el uso y ejercicio de la propiedad predomina el elemento individual, debiendo conciliarse, al fallecimiento del individuo, estos tres factores (individuo, familia y sociedad: de la parte de los bienes que el individuo ha conseguido con su trabajo, puede disponer a su prudente arbitrio; el remanente debe estar reservado a la familia, para evitar que el individuo pueda dejar en la miseria a personas que habían participado en su riqueza; y, por último, debido a las garantías que el Estado suministra, también debe éste tener su participación.</w:t>
      </w:r>
    </w:p>
  </w:footnote>
  <w:footnote w:id="46">
    <w:p w14:paraId="51F0200C" w14:textId="01A3DA66" w:rsidR="000D63AA" w:rsidRDefault="000D63AA" w:rsidP="000D63AA">
      <w:pPr>
        <w:pStyle w:val="Textonotapie"/>
        <w:jc w:val="both"/>
      </w:pPr>
      <w:r>
        <w:rPr>
          <w:rStyle w:val="Refdenotaalpie"/>
        </w:rPr>
        <w:footnoteRef/>
      </w:r>
      <w:r>
        <w:t xml:space="preserve"> Salvo excepciones, en determinadas áreas en que predomina el sector primario. Pero, incluso en estas zonas, los hijos</w:t>
      </w:r>
      <w:r w:rsidR="00E51816">
        <w:t xml:space="preserve"> hoy en día, en la mayoría de las ocasiones,</w:t>
      </w:r>
      <w:r>
        <w:t xml:space="preserve"> optan por seguir otros caminos profesionales distintos al del sector agrario y ganadero.</w:t>
      </w:r>
    </w:p>
  </w:footnote>
  <w:footnote w:id="47">
    <w:p w14:paraId="4CF89617" w14:textId="34983D37" w:rsidR="00E51816" w:rsidRDefault="00E51816">
      <w:pPr>
        <w:pStyle w:val="Textonotapie"/>
      </w:pPr>
      <w:r>
        <w:rPr>
          <w:rStyle w:val="Refdenotaalpie"/>
        </w:rPr>
        <w:footnoteRef/>
      </w:r>
      <w:r>
        <w:t xml:space="preserve"> ALONSO MARTÍNEZ indicaba que la Naturaleza ha hecho esencialmente iguales a los hermanos y por ello la Ley no puede atribuirles derechos diferentes.</w:t>
      </w:r>
    </w:p>
  </w:footnote>
  <w:footnote w:id="48">
    <w:p w14:paraId="0E347438" w14:textId="1D352C9A" w:rsidR="00274570" w:rsidRDefault="00274570">
      <w:pPr>
        <w:pStyle w:val="Textonotapie"/>
      </w:pPr>
      <w:r>
        <w:rPr>
          <w:rStyle w:val="Refdenotaalpie"/>
        </w:rPr>
        <w:footnoteRef/>
      </w:r>
      <w:r>
        <w:t xml:space="preserve"> Citado por DE LA ESPERANZA </w:t>
      </w:r>
      <w:r w:rsidR="009105F7">
        <w:t>RODRÍGUEZ, Pablo</w:t>
      </w:r>
      <w:r w:rsidR="00D01EB5">
        <w:t xml:space="preserve">, </w:t>
      </w:r>
      <w:r>
        <w:t>obra citada, página 118.</w:t>
      </w:r>
    </w:p>
  </w:footnote>
  <w:footnote w:id="49">
    <w:p w14:paraId="18E3AC69" w14:textId="7290B213" w:rsidR="00EC564C" w:rsidRDefault="00EC564C" w:rsidP="00EC564C">
      <w:pPr>
        <w:pStyle w:val="Textonotapie"/>
        <w:jc w:val="both"/>
      </w:pPr>
      <w:r>
        <w:rPr>
          <w:rStyle w:val="Refdenotaalpie"/>
        </w:rPr>
        <w:footnoteRef/>
      </w:r>
      <w:r>
        <w:t xml:space="preserve"> El Tribunal Constitucional alemán, en la sentencia de 19 de abril de 2005, consideró que la legítima de los descendientes es un valor protegido constitucionalmente, pues a pesar de los cambios progresivos en la evolución de las estructuras familiares, no pierde vigencia y sus fundamentos aún se explican en base a los principios de solidaridad familiar (el patrimonio de padres e hijos se mantiene o incrementa gracias a la ayuda mutua y recíproca entre ellos).</w:t>
      </w:r>
    </w:p>
  </w:footnote>
  <w:footnote w:id="50">
    <w:p w14:paraId="56CEAC13" w14:textId="13A72054" w:rsidR="00A53499" w:rsidRDefault="00A53499" w:rsidP="00A96892">
      <w:pPr>
        <w:pStyle w:val="Textonotapie"/>
        <w:jc w:val="both"/>
      </w:pPr>
      <w:r>
        <w:rPr>
          <w:rStyle w:val="Refdenotaalpie"/>
        </w:rPr>
        <w:footnoteRef/>
      </w:r>
      <w:r>
        <w:t xml:space="preserve"> Define este principio VIVES VELO DE ANTELO, María Patricia, en “</w:t>
      </w:r>
      <w:r w:rsidR="002251F3">
        <w:t>R</w:t>
      </w:r>
      <w:r>
        <w:t>azones para mantener la legítima y propuesta de regulación”, Fundación Notariado, 202</w:t>
      </w:r>
      <w:r w:rsidR="00A96892">
        <w:t>4, páginas 422 y 423, como “relación de ayuda mutua entre los miembros de una familia que lleva implícita, por tanto, la idea de reciprocidad y que debe ser contemplada desde múltiples dimensiones”: cumplimiento por el causante de sus deberes con sus legitimarios -obligación de alimentos, por ejemplo-, pero también de los legitimarios frente a su causante -respeto de los hijos a los padres-; existencia de una relación familiar -llamadas telefónicas, celebraciones familiares, transmisión de cultura y tradiciones-; también relaciones de afecto y de ayuda económica.</w:t>
      </w:r>
    </w:p>
  </w:footnote>
  <w:footnote w:id="51">
    <w:p w14:paraId="03FE3C69" w14:textId="4BAC4194" w:rsidR="00E25870" w:rsidRDefault="00E25870">
      <w:pPr>
        <w:pStyle w:val="Textonotapie"/>
      </w:pPr>
      <w:r>
        <w:rPr>
          <w:rStyle w:val="Refdenotaalpie"/>
        </w:rPr>
        <w:footnoteRef/>
      </w:r>
      <w:r>
        <w:t xml:space="preserve"> La Ley 272 de la Compilación de Derecho Civil de Navarra, en este sentido, establecía que “los hijos de anterior matrimonio no deberán recibir de sus padres menos que el más favorecido de los hijos o cónyuge de ulterior matrimonio”. No obstante, esta norma fue drogada por la Ley 21/2019, de 4 de abril.</w:t>
      </w:r>
    </w:p>
  </w:footnote>
  <w:footnote w:id="52">
    <w:p w14:paraId="6B6EFB36" w14:textId="3AAE37DA" w:rsidR="002A69ED" w:rsidRDefault="002A69ED">
      <w:pPr>
        <w:pStyle w:val="Textonotapie"/>
      </w:pPr>
      <w:r>
        <w:rPr>
          <w:rStyle w:val="Refdenotaalpie"/>
        </w:rPr>
        <w:footnoteRef/>
      </w:r>
      <w:r>
        <w:t xml:space="preserve"> MAGARIÑOS BLANCO, Victorio, obra citada, páginas 273-290.</w:t>
      </w:r>
    </w:p>
  </w:footnote>
  <w:footnote w:id="53">
    <w:p w14:paraId="327C36CF" w14:textId="4782F336" w:rsidR="000F1904" w:rsidRDefault="000F1904" w:rsidP="000F1904">
      <w:pPr>
        <w:pStyle w:val="Textonotapie"/>
        <w:jc w:val="both"/>
      </w:pPr>
      <w:r>
        <w:rPr>
          <w:rStyle w:val="Refdenotaalpie"/>
        </w:rPr>
        <w:footnoteRef/>
      </w:r>
      <w:r>
        <w:t xml:space="preserve"> De atención a las personas con discapacidad en Navarra y garantía de sus derechos: Disposición final Primera.</w:t>
      </w:r>
    </w:p>
  </w:footnote>
  <w:footnote w:id="54">
    <w:p w14:paraId="60FA4DBC" w14:textId="68B8C2E2" w:rsidR="000F1904" w:rsidRDefault="000F1904">
      <w:pPr>
        <w:pStyle w:val="Textonotapie"/>
      </w:pPr>
      <w:r>
        <w:rPr>
          <w:rStyle w:val="Refdenotaalpie"/>
        </w:rPr>
        <w:footnoteRef/>
      </w:r>
      <w:r>
        <w:t xml:space="preserve"> Bajo el título “la influencia indebida”.</w:t>
      </w:r>
    </w:p>
  </w:footnote>
  <w:footnote w:id="55">
    <w:p w14:paraId="7470E3A3" w14:textId="7C57A7FC" w:rsidR="005A02AF" w:rsidRDefault="005A02AF" w:rsidP="005A02AF">
      <w:pPr>
        <w:pStyle w:val="Textonotapie"/>
        <w:jc w:val="both"/>
      </w:pPr>
      <w:r>
        <w:rPr>
          <w:rStyle w:val="Refdenotaalpie"/>
        </w:rPr>
        <w:footnoteRef/>
      </w:r>
      <w:r>
        <w:t xml:space="preserve"> De la misma manera el artículo 17.1 de la Carta de los Derechos Fundamentales de la Unión Europea, como hemos visto.</w:t>
      </w:r>
    </w:p>
  </w:footnote>
  <w:footnote w:id="56">
    <w:p w14:paraId="7E6AE077" w14:textId="151E54A7" w:rsidR="00A803F0" w:rsidRDefault="00A803F0" w:rsidP="00170178">
      <w:pPr>
        <w:pStyle w:val="Textonotapie"/>
        <w:jc w:val="both"/>
      </w:pPr>
      <w:r>
        <w:rPr>
          <w:rStyle w:val="Refdenotaalpie"/>
        </w:rPr>
        <w:footnoteRef/>
      </w:r>
      <w:r>
        <w:t xml:space="preserve"> </w:t>
      </w:r>
      <w:r w:rsidR="00170178">
        <w:t>La libertad de testar, al contrario, puede venir amparada en la propia CE, cuando en su artículo 10.1 proclama: “</w:t>
      </w:r>
      <w:r w:rsidR="00170178" w:rsidRPr="00170178">
        <w:t>La dignidad de la persona, los derechos inviolables que le son inherentes, el libre desarrollo de la personalidad, el respeto a la ley y a los derechos de los demás son fundamento del orden político y de la paz social</w:t>
      </w:r>
      <w:r w:rsidR="00170178">
        <w:t>”.</w:t>
      </w:r>
    </w:p>
  </w:footnote>
  <w:footnote w:id="57">
    <w:p w14:paraId="53959420" w14:textId="00827CFB" w:rsidR="00CB384C" w:rsidRDefault="00CB384C" w:rsidP="00CB384C">
      <w:pPr>
        <w:pStyle w:val="Textonotapie"/>
        <w:jc w:val="both"/>
      </w:pPr>
      <w:r>
        <w:rPr>
          <w:rStyle w:val="Refdenotaalpie"/>
        </w:rPr>
        <w:footnoteRef/>
      </w:r>
      <w:r>
        <w:t xml:space="preserve"> ROCA TRÍAS, CÁMARA LAPUENTE, VALLADARES RASCÓN, SERRANO DE NICOLÁS, TORRES GARCÍA, RUBIO GARCÍA, SÁNCHEZ GONZÁLEZ, VAQUER ALOY.</w:t>
      </w:r>
    </w:p>
  </w:footnote>
  <w:footnote w:id="58">
    <w:p w14:paraId="6361032B" w14:textId="5A2C5AE4" w:rsidR="00AF1E40" w:rsidRDefault="00AF1E40">
      <w:pPr>
        <w:pStyle w:val="Textonotapie"/>
      </w:pPr>
      <w:r>
        <w:rPr>
          <w:rStyle w:val="Refdenotaalpie"/>
        </w:rPr>
        <w:footnoteRef/>
      </w:r>
      <w:r>
        <w:t xml:space="preserve"> Presentado el 29 de febrero de 2024.</w:t>
      </w:r>
    </w:p>
  </w:footnote>
  <w:footnote w:id="59">
    <w:p w14:paraId="1DBD18C6" w14:textId="208DD040" w:rsidR="00C21921" w:rsidRDefault="00C21921" w:rsidP="00C21921">
      <w:pPr>
        <w:pStyle w:val="Textonotapie"/>
        <w:jc w:val="both"/>
      </w:pPr>
      <w:r>
        <w:rPr>
          <w:rStyle w:val="Refdenotaalpie"/>
        </w:rPr>
        <w:footnoteRef/>
      </w:r>
      <w:r>
        <w:t xml:space="preserve"> El testador desheredó a sus hijos por maltrato, demostrándose que, </w:t>
      </w:r>
      <w:r w:rsidRPr="00C21921">
        <w:t xml:space="preserve">en los últimos siete años de vida del causante, ya enfermo, </w:t>
      </w:r>
      <w:r>
        <w:t>había quedado</w:t>
      </w:r>
      <w:r w:rsidRPr="00C21921">
        <w:t xml:space="preserve"> bajo el amparo de su </w:t>
      </w:r>
      <w:r w:rsidR="00581FD6" w:rsidRPr="00C21921">
        <w:t xml:space="preserve">hermana, </w:t>
      </w:r>
      <w:r w:rsidR="00581FD6">
        <w:t>a</w:t>
      </w:r>
      <w:r>
        <w:t xml:space="preserve"> la que instituyó heredera, </w:t>
      </w:r>
      <w:r w:rsidRPr="00C21921">
        <w:t>sin que sus hijos se interesaran por él o tuvieran contacto alguno</w:t>
      </w:r>
      <w:r>
        <w:t>.</w:t>
      </w:r>
    </w:p>
  </w:footnote>
  <w:footnote w:id="60">
    <w:p w14:paraId="7E0E75D1" w14:textId="56E068BA" w:rsidR="00C21921" w:rsidRDefault="00C21921" w:rsidP="00581FD6">
      <w:pPr>
        <w:pStyle w:val="Textonotapie"/>
        <w:jc w:val="both"/>
      </w:pPr>
      <w:r>
        <w:rPr>
          <w:rStyle w:val="Refdenotaalpie"/>
        </w:rPr>
        <w:footnoteRef/>
      </w:r>
      <w:r>
        <w:t xml:space="preserve"> </w:t>
      </w:r>
      <w:r w:rsidR="00581FD6">
        <w:t>La testadora desheredó al hijo que trató de quedarse con su patrimonio mediante engaño, habiendo sido declarada nula la donación realizada. Todo ello causó malestar y daño psicológico a la causante.</w:t>
      </w:r>
    </w:p>
  </w:footnote>
  <w:footnote w:id="61">
    <w:p w14:paraId="002381A3" w14:textId="61D4BD3D" w:rsidR="00581FD6" w:rsidRDefault="00581FD6" w:rsidP="00581FD6">
      <w:pPr>
        <w:pStyle w:val="Textonotapie"/>
        <w:jc w:val="both"/>
      </w:pPr>
      <w:r>
        <w:rPr>
          <w:rStyle w:val="Refdenotaalpie"/>
        </w:rPr>
        <w:footnoteRef/>
      </w:r>
      <w:r>
        <w:t xml:space="preserve"> No es necesario que en el testamento se incluyan las pruebas del maltrato, bastando que se prueben en sede judicial. El plazo para impugnar la desheredación injusta es de 4 años (artículo 1301 CCE).</w:t>
      </w:r>
    </w:p>
  </w:footnote>
  <w:footnote w:id="62">
    <w:p w14:paraId="3B2F893D" w14:textId="582F086A" w:rsidR="00CE0384" w:rsidRDefault="00CE0384" w:rsidP="00CE0384">
      <w:pPr>
        <w:pStyle w:val="Textonotapie"/>
        <w:jc w:val="both"/>
      </w:pPr>
      <w:r>
        <w:rPr>
          <w:rStyle w:val="Refdenotaalpie"/>
        </w:rPr>
        <w:footnoteRef/>
      </w:r>
      <w:r>
        <w:t xml:space="preserve"> La Sentencia 1676/2023, de 19 de abril, declara injusta la desheredación de dos hijos, basada en la falta de relación con ellos, al afirmar que </w:t>
      </w:r>
      <w:r w:rsidRPr="00CE0384">
        <w:t>una falta de relación continuada e imputable al desheredado puede ser valorada como causante de unos daños psicológicos y, en consecuencia, encuadrarse en una de las causas de privación de la legítima establecidas por el legislador. Pero, como remarcó en una sentencia anterior, ello no supone configurar por vía interpretativa una nueva causa autónoma de desheredación basada exclusivamente, sin más requisitos, en la indiferencia y en la falta de relación familiar, puesto que el legislador no la contempla.</w:t>
      </w:r>
    </w:p>
  </w:footnote>
  <w:footnote w:id="63">
    <w:p w14:paraId="24C4BAD3" w14:textId="47277F5B" w:rsidR="00626EB4" w:rsidRDefault="00626EB4" w:rsidP="00E151DD">
      <w:pPr>
        <w:pStyle w:val="Textonotapie"/>
        <w:jc w:val="both"/>
      </w:pPr>
      <w:r>
        <w:rPr>
          <w:rStyle w:val="Refdenotaalpie"/>
        </w:rPr>
        <w:footnoteRef/>
      </w:r>
      <w:r>
        <w:t xml:space="preserve"> </w:t>
      </w:r>
      <w:r w:rsidR="00E151DD">
        <w:t>Legítima colectiva de los hijos y descendientes, que pasa d</w:t>
      </w:r>
      <w:r>
        <w:t>e los dos tercios a la mitad del haber hereditario (</w:t>
      </w:r>
      <w:r w:rsidR="00E151DD">
        <w:t>Decreto Legislativo 1/2011, de 22 de marzo).</w:t>
      </w:r>
    </w:p>
  </w:footnote>
  <w:footnote w:id="64">
    <w:p w14:paraId="36A11C90" w14:textId="0F8E6F26" w:rsidR="00E151DD" w:rsidRDefault="00E151DD">
      <w:pPr>
        <w:pStyle w:val="Textonotapie"/>
      </w:pPr>
      <w:r>
        <w:rPr>
          <w:rStyle w:val="Refdenotaalpie"/>
        </w:rPr>
        <w:footnoteRef/>
      </w:r>
      <w:r>
        <w:t xml:space="preserve"> Que se ha fijado en la cuarta parte la legítima de los descendientes (artículo 243), tras la entrada en vigor de la Ley 2/2006, de 14 de junio, de derecho civil de Galicia.</w:t>
      </w:r>
    </w:p>
  </w:footnote>
  <w:footnote w:id="65">
    <w:p w14:paraId="5DEAF88A" w14:textId="742B7599" w:rsidR="00E151DD" w:rsidRDefault="00E151DD" w:rsidP="00184D01">
      <w:pPr>
        <w:pStyle w:val="Textonotapie"/>
        <w:jc w:val="both"/>
      </w:pPr>
      <w:r>
        <w:rPr>
          <w:rStyle w:val="Refdenotaalpie"/>
        </w:rPr>
        <w:footnoteRef/>
      </w:r>
      <w:r>
        <w:t xml:space="preserve"> </w:t>
      </w:r>
      <w:r w:rsidR="00184D01">
        <w:t>Legítima colectiva</w:t>
      </w:r>
      <w:r>
        <w:t xml:space="preserve"> de los hijos y descendientes</w:t>
      </w:r>
      <w:r w:rsidR="00184D01">
        <w:t>, que queda fijada en</w:t>
      </w:r>
      <w:r>
        <w:t xml:space="preserve"> un tercio</w:t>
      </w:r>
      <w:r w:rsidR="00184D01">
        <w:t xml:space="preserve"> (artículo 49 Ley 5/2015, de 25 de junio, de Derecho civil vasco).</w:t>
      </w:r>
    </w:p>
  </w:footnote>
  <w:footnote w:id="66">
    <w:p w14:paraId="20EAE0E7" w14:textId="2CDC403B" w:rsidR="00184D01" w:rsidRDefault="00184D01">
      <w:pPr>
        <w:pStyle w:val="Textonotapie"/>
      </w:pPr>
      <w:r>
        <w:rPr>
          <w:rStyle w:val="Refdenotaalpie"/>
        </w:rPr>
        <w:footnoteRef/>
      </w:r>
      <w:r>
        <w:t xml:space="preserve"> De cuatro quintos a dos tercios.</w:t>
      </w:r>
    </w:p>
  </w:footnote>
  <w:footnote w:id="67">
    <w:p w14:paraId="4E23F1BA" w14:textId="613A83A4" w:rsidR="00BD56A2" w:rsidRDefault="00BD56A2">
      <w:pPr>
        <w:pStyle w:val="Textonotapie"/>
      </w:pPr>
      <w:r>
        <w:rPr>
          <w:rStyle w:val="Refdenotaalpie"/>
        </w:rPr>
        <w:footnoteRef/>
      </w:r>
      <w:r>
        <w:t xml:space="preserve"> Tras la reforma realizada por la Ley Foral 21/</w:t>
      </w:r>
      <w:r w:rsidR="00C02F88">
        <w:t>2019, de</w:t>
      </w:r>
      <w:r>
        <w:t xml:space="preserve"> 4 de abril.</w:t>
      </w:r>
    </w:p>
  </w:footnote>
  <w:footnote w:id="68">
    <w:p w14:paraId="3850B25E" w14:textId="3E9ECB8C" w:rsidR="00C02F88" w:rsidRDefault="00C02F88" w:rsidP="00C02F88">
      <w:pPr>
        <w:pStyle w:val="Textonotapie"/>
        <w:jc w:val="both"/>
      </w:pPr>
      <w:r>
        <w:rPr>
          <w:rStyle w:val="Refdenotaalpie"/>
        </w:rPr>
        <w:footnoteRef/>
      </w:r>
      <w:r>
        <w:t xml:space="preserve"> Según el artículo 442-6 CCCAT: 1. El cónyuge viudo no tiene derecho a suceder abintestato al causante si en el momento de la apertura de la sucesión estaba separado de este legalmente o de hecho o si estaba pendiente una demanda de nulidad del matrimonio, de divorcio o de separación, salvo que los cónyuges se hubieran reconciliado.2. El conviviente en pareja estable superviviente no tiene derecho a suceder ab intestato al causante si estaba separado de hecho del causante en el momento de la muerte de éste.</w:t>
      </w:r>
    </w:p>
  </w:footnote>
  <w:footnote w:id="69">
    <w:p w14:paraId="6EB4C1A4" w14:textId="62C9272E" w:rsidR="009C7F68" w:rsidRDefault="009C7F68" w:rsidP="009C7F68">
      <w:pPr>
        <w:pStyle w:val="Textonotapie"/>
        <w:jc w:val="both"/>
      </w:pPr>
      <w:r>
        <w:rPr>
          <w:rStyle w:val="Refdenotaalpie"/>
        </w:rPr>
        <w:footnoteRef/>
      </w:r>
      <w:r>
        <w:t xml:space="preserve">  El causante puede disponer, por el medio que estime conveniente, incluso mediante un fideicomiso, además de la porción disponible, de un tercio de las porciones legítimas para aplicarlas como mejora estricta a descendientes o ascendientes con discapacidad.  A estos efectos, se considera persona con discapacidad a toda persona que padece una alteración funcional permanente o prolongada, física o mental, que </w:t>
      </w:r>
      <w:r w:rsidR="00666939">
        <w:t>en relación con</w:t>
      </w:r>
      <w:r>
        <w:t xml:space="preserve"> su edad y medio social implica desventajas considerables para su integración familiar, social, educacional o laboral.</w:t>
      </w:r>
    </w:p>
  </w:footnote>
  <w:footnote w:id="70">
    <w:p w14:paraId="5B39F613" w14:textId="3F98DF35" w:rsidR="00666939" w:rsidRDefault="00666939">
      <w:pPr>
        <w:pStyle w:val="Textonotapie"/>
      </w:pPr>
      <w:r>
        <w:rPr>
          <w:rStyle w:val="Refdenotaalpie"/>
        </w:rPr>
        <w:footnoteRef/>
      </w:r>
      <w:r>
        <w:t xml:space="preserve"> Obra citada, páginas 174-192.</w:t>
      </w:r>
    </w:p>
  </w:footnote>
  <w:footnote w:id="71">
    <w:p w14:paraId="3EBECB8D" w14:textId="7E2A3E1E" w:rsidR="00941FD2" w:rsidRDefault="00941FD2">
      <w:pPr>
        <w:pStyle w:val="Textonotapie"/>
      </w:pPr>
      <w:r>
        <w:rPr>
          <w:rStyle w:val="Refdenotaalpie"/>
        </w:rPr>
        <w:footnoteRef/>
      </w:r>
      <w:r>
        <w:t xml:space="preserve"> Años 1996-1999.</w:t>
      </w:r>
    </w:p>
  </w:footnote>
  <w:footnote w:id="72">
    <w:p w14:paraId="1D953AD2" w14:textId="47AC72C6" w:rsidR="00941FD2" w:rsidRDefault="00941FD2" w:rsidP="00941FD2">
      <w:pPr>
        <w:pStyle w:val="Textonotapie"/>
        <w:jc w:val="both"/>
      </w:pPr>
      <w:r>
        <w:rPr>
          <w:rStyle w:val="Refdenotaalpie"/>
        </w:rPr>
        <w:footnoteRef/>
      </w:r>
      <w:r>
        <w:t xml:space="preserve"> “Ciclo de conferencias sobre cuestiones de Derecho Privado”, Ilustre Colegio Notarial de Oviedo, 2001: “Perspectivas de las legítimas. Notas para una posible revisión”, páginas 105-126.</w:t>
      </w:r>
    </w:p>
  </w:footnote>
  <w:footnote w:id="73">
    <w:p w14:paraId="49C16774" w14:textId="086E2493" w:rsidR="00080DA4" w:rsidRDefault="00080DA4" w:rsidP="00080DA4">
      <w:pPr>
        <w:pStyle w:val="Textonotapie"/>
        <w:jc w:val="both"/>
      </w:pPr>
      <w:r>
        <w:rPr>
          <w:rStyle w:val="Refdenotaalpie"/>
        </w:rPr>
        <w:footnoteRef/>
      </w:r>
      <w:r>
        <w:t xml:space="preserve"> Considera que hay que reducir la cuantía de la legítima, siendo conveniente una legítima colectiva.</w:t>
      </w:r>
    </w:p>
  </w:footnote>
  <w:footnote w:id="74">
    <w:p w14:paraId="35B4ED93" w14:textId="61C06C70" w:rsidR="00080DA4" w:rsidRDefault="00080DA4" w:rsidP="00FF0804">
      <w:pPr>
        <w:pStyle w:val="Textonotapie"/>
        <w:jc w:val="both"/>
      </w:pPr>
      <w:r>
        <w:rPr>
          <w:rStyle w:val="Refdenotaalpie"/>
        </w:rPr>
        <w:footnoteRef/>
      </w:r>
      <w:r>
        <w:t xml:space="preserve"> Defiende un sistema legitimario limitado, aplicando algunos criterios troncales: los bienes que el causante haya recibido a título lucrativo de sus mayores habrían de transmitirse forzosamente a los legitimarios, si bien en cuantía de una mitad. Los que provengan de la actividad industrial, fabril, laboral o profesional de cada uno, serían de libre disposición</w:t>
      </w:r>
      <w:r w:rsidR="00FF0804">
        <w:t>. También es partidario de legítimas asistenciales, pero en régimen de usufructo vitalicio, con facultad para disponer sólo en caso de necesidad, a favor de descendientes, ascendientes y cónyuge que no puedan ganarse la vida por sí mismos debido a enfermedades o a discapacidades.</w:t>
      </w:r>
    </w:p>
  </w:footnote>
  <w:footnote w:id="75">
    <w:p w14:paraId="3E0904D9" w14:textId="36C61778" w:rsidR="00263BAE" w:rsidRDefault="00263BAE" w:rsidP="00263BAE">
      <w:pPr>
        <w:pStyle w:val="Textonotapie"/>
        <w:jc w:val="both"/>
      </w:pPr>
      <w:r>
        <w:rPr>
          <w:rStyle w:val="Refdenotaalpie"/>
        </w:rPr>
        <w:footnoteRef/>
      </w:r>
      <w:r>
        <w:t xml:space="preserve"> Proponen </w:t>
      </w:r>
      <w:r w:rsidR="002E13D3">
        <w:t xml:space="preserve">una legítima colectiva, </w:t>
      </w:r>
      <w:r>
        <w:t>una reducción de la cuota legitimaria, cuota fija</w:t>
      </w:r>
      <w:r w:rsidR="002E13D3">
        <w:t xml:space="preserve"> y configuración como</w:t>
      </w:r>
      <w:r>
        <w:t xml:space="preserve"> </w:t>
      </w:r>
      <w:r w:rsidRPr="00263BAE">
        <w:rPr>
          <w:i/>
          <w:iCs/>
        </w:rPr>
        <w:t>pars valoris</w:t>
      </w:r>
      <w:r>
        <w:t>.</w:t>
      </w:r>
    </w:p>
  </w:footnote>
  <w:footnote w:id="76">
    <w:p w14:paraId="4B13B564" w14:textId="30157BC2" w:rsidR="00263BAE" w:rsidRDefault="00263BAE" w:rsidP="00263BAE">
      <w:pPr>
        <w:pStyle w:val="Textonotapie"/>
        <w:jc w:val="both"/>
      </w:pPr>
      <w:r>
        <w:rPr>
          <w:rStyle w:val="Refdenotaalpie"/>
        </w:rPr>
        <w:footnoteRef/>
      </w:r>
      <w:r>
        <w:t xml:space="preserve"> Propugna una legítima colectiva, cuota variable según el número de legitimarios, admitir las renuncias anticipadas a la legítima en vida del testador, configurar la legítima como derecho de crédito, que se pueda pagar con dinero extrahereditario en cualquier supuesto, permitiendo el aplazamiento de su pago para diferentes finalidades, como la de preservar el domicilio familiar; modificar las causas de desheredación y las reglas sobre el cómputo, imputación y reducción de donaciones.</w:t>
      </w:r>
    </w:p>
  </w:footnote>
  <w:footnote w:id="77">
    <w:p w14:paraId="5BA8D538" w14:textId="31F41D6E" w:rsidR="00263BAE" w:rsidRDefault="00263BAE" w:rsidP="00263BAE">
      <w:pPr>
        <w:pStyle w:val="Textonotapie"/>
        <w:jc w:val="both"/>
      </w:pPr>
      <w:r>
        <w:rPr>
          <w:rStyle w:val="Refdenotaalpie"/>
        </w:rPr>
        <w:footnoteRef/>
      </w:r>
      <w:r>
        <w:t xml:space="preserve"> Considera que se ha de mantener la legítima de descendientes y ascendientes, si bien la del cónyuge ha de ser en propiedad, no en usufructo, con reconocimiento de un derecho preferente sobre la vivienda familiar.</w:t>
      </w:r>
    </w:p>
  </w:footnote>
  <w:footnote w:id="78">
    <w:p w14:paraId="7A3022FD" w14:textId="5D1D82DF" w:rsidR="000B5B49" w:rsidRDefault="000B5B49" w:rsidP="00080DA4">
      <w:pPr>
        <w:pStyle w:val="Textonotapie"/>
        <w:jc w:val="both"/>
      </w:pPr>
      <w:r>
        <w:rPr>
          <w:rStyle w:val="Refdenotaalpie"/>
        </w:rPr>
        <w:footnoteRef/>
      </w:r>
      <w:r>
        <w:t xml:space="preserve"> </w:t>
      </w:r>
      <w:r w:rsidR="00080DA4">
        <w:t xml:space="preserve">Defiende un término medio en el debate, considerando que ha llegado el momento de transformar las legítimas para dotarlas de un carácter asistencial en caso de necesidad, o bien erradicar las legítimas e instaurar un derecho de alimentos </w:t>
      </w:r>
      <w:r w:rsidR="00080DA4" w:rsidRPr="00080DA4">
        <w:rPr>
          <w:i/>
          <w:iCs/>
        </w:rPr>
        <w:t>post mortem</w:t>
      </w:r>
      <w:r w:rsidR="00080DA4">
        <w:t>.</w:t>
      </w:r>
    </w:p>
  </w:footnote>
  <w:footnote w:id="79">
    <w:p w14:paraId="1AC3FCDB" w14:textId="4FE53CA1" w:rsidR="00C55781" w:rsidRDefault="00C55781" w:rsidP="00C55781">
      <w:pPr>
        <w:pStyle w:val="Textonotapie"/>
        <w:jc w:val="both"/>
      </w:pPr>
      <w:r>
        <w:rPr>
          <w:rStyle w:val="Refdenotaalpie"/>
        </w:rPr>
        <w:footnoteRef/>
      </w:r>
      <w:r>
        <w:t xml:space="preserve"> Aboga por una legítima solo a favor de descendientes según sus necesidades vitales -menores y con discapacidad, o hijos hasta los 25 años- y el cónyuge, con posibilidad de pago en metálico e imputación de los gastos de educación y formación.</w:t>
      </w:r>
    </w:p>
  </w:footnote>
  <w:footnote w:id="80">
    <w:p w14:paraId="0A649A66" w14:textId="3768994C" w:rsidR="000B5B49" w:rsidRDefault="000B5B49" w:rsidP="000B5B49">
      <w:pPr>
        <w:pStyle w:val="Textonotapie"/>
        <w:jc w:val="both"/>
      </w:pPr>
      <w:r>
        <w:rPr>
          <w:rStyle w:val="Refdenotaalpie"/>
        </w:rPr>
        <w:footnoteRef/>
      </w:r>
      <w:r>
        <w:t xml:space="preserve"> Entiende que la legítima de los descendientes debiera fijarse en una tercera parte del caudal; que ha de suprimirse la legítima de loa ascendientes (a salvo atribuciones asistenciales), y que ha de mantenerse la legítima del cónyuge viudo en un tercio en pleno dominio.</w:t>
      </w:r>
    </w:p>
  </w:footnote>
  <w:footnote w:id="81">
    <w:p w14:paraId="40CEE0DC" w14:textId="4F494041" w:rsidR="002E13D3" w:rsidRDefault="002E13D3" w:rsidP="002E13D3">
      <w:pPr>
        <w:pStyle w:val="Textonotapie"/>
        <w:jc w:val="both"/>
      </w:pPr>
      <w:r>
        <w:rPr>
          <w:rStyle w:val="Refdenotaalpie"/>
        </w:rPr>
        <w:footnoteRef/>
      </w:r>
      <w:r>
        <w:t xml:space="preserve"> Considera que debe configurarse la legítima como derecho de crédito pagadero en dinero incluso de modo diferido, que han de protegerse las donaciones frente a las pretensiones de los legitimarios, debiendo admitirse la renuncia anticipada a la acción de reducción, plazos más breves para ejercitar la acción de reducción, modificación de las causas de desheredación y supresión de la legítima de los ascendientes.</w:t>
      </w:r>
    </w:p>
  </w:footnote>
  <w:footnote w:id="82">
    <w:p w14:paraId="1A1DFE5F" w14:textId="6C8C0E83" w:rsidR="00FA5A04" w:rsidRDefault="00FA5A04" w:rsidP="00FA5A04">
      <w:pPr>
        <w:pStyle w:val="Textonotapie"/>
        <w:jc w:val="both"/>
      </w:pPr>
      <w:r>
        <w:rPr>
          <w:rStyle w:val="Refdenotaalpie"/>
        </w:rPr>
        <w:footnoteRef/>
      </w:r>
      <w:r>
        <w:t xml:space="preserve"> Estudia las legítimas en relación con la conservación de la empresa, entendiendo que no puede haber causas que justifiquen la libertad de testar conectadas al mantenimiento de la empresa si no van acompañadas de otro tipo de cautelas, como la carga del beneficiario de continuar con la explotación</w:t>
      </w:r>
      <w:r w:rsidR="00B56B7C">
        <w:t>,</w:t>
      </w:r>
      <w:r>
        <w:t xml:space="preserve"> la prohibición de venderla o incluso la imposición al causante de la necesidad de escoger como sucesor al más idóneo.</w:t>
      </w:r>
    </w:p>
  </w:footnote>
  <w:footnote w:id="83">
    <w:p w14:paraId="4C8F732A" w14:textId="156C89E1" w:rsidR="00FA5A04" w:rsidRDefault="00FA5A04" w:rsidP="000B70F7">
      <w:pPr>
        <w:pStyle w:val="Textonotapie"/>
        <w:jc w:val="both"/>
      </w:pPr>
      <w:r>
        <w:rPr>
          <w:rStyle w:val="Refdenotaalpie"/>
        </w:rPr>
        <w:footnoteRef/>
      </w:r>
      <w:r>
        <w:t xml:space="preserve"> </w:t>
      </w:r>
      <w:r w:rsidR="000B70F7">
        <w:t>Defiende una cuota fija legitimaria reducida por lo menos a la mitad en el caso de legítimas largas y, donde la legítima es menor, al cuarto, si bien limitada a hijos menore de 25 años s o con discapacidad y al cónyuge.</w:t>
      </w:r>
    </w:p>
  </w:footnote>
  <w:footnote w:id="84">
    <w:p w14:paraId="25F8599B" w14:textId="3BFFF117" w:rsidR="00B56B7C" w:rsidRDefault="00B56B7C">
      <w:pPr>
        <w:pStyle w:val="Textonotapie"/>
      </w:pPr>
      <w:r>
        <w:rPr>
          <w:rStyle w:val="Refdenotaalpie"/>
        </w:rPr>
        <w:footnoteRef/>
      </w:r>
      <w:r>
        <w:t xml:space="preserve"> Apunta la necesidad de reducir las porciones legitimarias, su conversión en derecho de crédito, así como la conveniencia de flexibilizar las causas de desheredación.</w:t>
      </w:r>
    </w:p>
  </w:footnote>
  <w:footnote w:id="85">
    <w:p w14:paraId="550F6979" w14:textId="408C9710" w:rsidR="00DD24F6" w:rsidRDefault="00DD24F6" w:rsidP="00DD24F6">
      <w:pPr>
        <w:pStyle w:val="Textonotapie"/>
        <w:jc w:val="both"/>
      </w:pPr>
      <w:r>
        <w:rPr>
          <w:rStyle w:val="Refdenotaalpie"/>
        </w:rPr>
        <w:footnoteRef/>
      </w:r>
      <w:r>
        <w:t xml:space="preserve"> Fundamentos de Derecho de Sucesiones, Fundación Notariado, 2022 (páginas 667-708). Tomás RUBIO GARRIDO cree en la reforma, no tanto de las cuotas, sino del régimen jurídico relativo a los modos de cumplimiento, títulos de atribución, reglas de evaluación y de imputación, colación y mecanismos de protección; defiende una regulación más cuidadosa de las causas de desheredación, atenida a las verdaderas circunstancias sociológicas actuales</w:t>
      </w:r>
      <w:r w:rsidR="00B56B7C">
        <w:t>; la admisión de pactos y negociaciones en vida del causante sobre las legítimas; una mejora regulatoria de los distintos supuestos de conmutación; la supresión del carácter de legítima pars bonorum; y un retoque al actual artículo 831 CC, entre otras medidas.</w:t>
      </w:r>
    </w:p>
  </w:footnote>
  <w:footnote w:id="86">
    <w:p w14:paraId="5A2C5D51" w14:textId="51213149" w:rsidR="007D6EE8" w:rsidRDefault="007D6EE8" w:rsidP="007D6EE8">
      <w:pPr>
        <w:pStyle w:val="Textonotapie"/>
        <w:jc w:val="both"/>
      </w:pPr>
      <w:r>
        <w:rPr>
          <w:rStyle w:val="Refdenotaalpie"/>
        </w:rPr>
        <w:footnoteRef/>
      </w:r>
      <w:r>
        <w:t xml:space="preserve"> Es partidaria de una legítima de los descendientes reducida en su cuantía, variable según el número de hijos, de la introducción del maltrato psicológico y de la ausencia de relaciones como nuevas causas de desheredación, con inversión de la carga de la prueba; de la reducción de cuantía de la legítima de los ascendientes, limitándola únicamente a los progenitores; de la configuración como pars valoris; y de la posibilidad de establecer de forma voluntaria el usufructo universal de la herencia al cónyuge viudo, aunque grave la legítima de los descendientes o progenitores.</w:t>
      </w:r>
    </w:p>
  </w:footnote>
  <w:footnote w:id="87">
    <w:p w14:paraId="3E7E9004" w14:textId="302B6A99" w:rsidR="007D6EE8" w:rsidRDefault="007D6EE8" w:rsidP="007D6EE8">
      <w:pPr>
        <w:pStyle w:val="Textonotapie"/>
        <w:jc w:val="both"/>
      </w:pPr>
      <w:r>
        <w:rPr>
          <w:rStyle w:val="Refdenotaalpie"/>
        </w:rPr>
        <w:footnoteRef/>
      </w:r>
      <w:r>
        <w:t xml:space="preserve"> Incluso una simple modificación que suavice su aplicación, como sería la ampliación de las causas de desheredación.</w:t>
      </w:r>
    </w:p>
  </w:footnote>
  <w:footnote w:id="88">
    <w:p w14:paraId="533E4A20" w14:textId="666B66C3" w:rsidR="008F7C9C" w:rsidRDefault="008F7C9C" w:rsidP="008F7C9C">
      <w:pPr>
        <w:pStyle w:val="Textonotapie"/>
        <w:jc w:val="both"/>
      </w:pPr>
      <w:r>
        <w:rPr>
          <w:rStyle w:val="Refdenotaalpie"/>
        </w:rPr>
        <w:footnoteRef/>
      </w:r>
      <w:r>
        <w:t xml:space="preserve"> “Reflexiones sobre la conservación o supresión de la cuota legítima en la futura reforma de sucesiones del Código Civil”, en la revista Actualidad jurídica iberoamericana, número 10 bis, junio 2019.</w:t>
      </w:r>
    </w:p>
  </w:footnote>
  <w:footnote w:id="89">
    <w:p w14:paraId="57279063" w14:textId="40D4E001" w:rsidR="00C7187E" w:rsidRDefault="00C7187E" w:rsidP="00E63C81">
      <w:pPr>
        <w:pStyle w:val="Textonotapie"/>
        <w:jc w:val="both"/>
      </w:pPr>
      <w:r>
        <w:rPr>
          <w:rStyle w:val="Refdenotaalpie"/>
        </w:rPr>
        <w:footnoteRef/>
      </w:r>
      <w:r>
        <w:t xml:space="preserve"> El Tribunal Constitucional consideró inconstitucionales las leyes valencianas 10/2007 y 5/</w:t>
      </w:r>
      <w:r w:rsidR="001C0CC5">
        <w:t>2011 (</w:t>
      </w:r>
      <w:r>
        <w:t>STC 82/20016, de 28 de abril; y 92/2016, de 17 de noviembre)</w:t>
      </w:r>
      <w:r w:rsidR="00E63C81">
        <w:t xml:space="preserve">, dejando sentenciado de muerte el intento de recuperación del Derecho Foral </w:t>
      </w:r>
      <w:r w:rsidR="00C25C85">
        <w:t>V</w:t>
      </w:r>
      <w:r w:rsidR="00E63C81">
        <w:t>alenciano.</w:t>
      </w:r>
    </w:p>
  </w:footnote>
  <w:footnote w:id="90">
    <w:p w14:paraId="6569C464" w14:textId="3C248E25" w:rsidR="001C0CC5" w:rsidRDefault="001C0CC5" w:rsidP="00BE55C6">
      <w:pPr>
        <w:pStyle w:val="Textonotapie"/>
        <w:jc w:val="both"/>
      </w:pPr>
      <w:r>
        <w:rPr>
          <w:rStyle w:val="Refdenotaalpie"/>
        </w:rPr>
        <w:footnoteRef/>
      </w:r>
      <w:r>
        <w:t xml:space="preserve"> Asociación de profesores y profesoras de Derecho Civil (APPDC)</w:t>
      </w:r>
      <w:r w:rsidR="00BE55C6">
        <w:t>, presidida por Rodrigo Bercovitz</w:t>
      </w:r>
      <w:r>
        <w:t>.</w:t>
      </w:r>
    </w:p>
  </w:footnote>
  <w:footnote w:id="91">
    <w:p w14:paraId="367D3F95" w14:textId="53F63399" w:rsidR="00301A7B" w:rsidRDefault="00301A7B" w:rsidP="00301A7B">
      <w:pPr>
        <w:pStyle w:val="Textonotapie"/>
        <w:jc w:val="both"/>
      </w:pPr>
      <w:r>
        <w:rPr>
          <w:rStyle w:val="Refdenotaalpie"/>
        </w:rPr>
        <w:footnoteRef/>
      </w:r>
      <w:r>
        <w:t xml:space="preserve"> En la sucesión legal se refuerza la posición del cónyuge viudo, anteponiéndolo a los ascendientes.  Sin embargo, no se incluye a las parejas de hecho como legitimarios, siguiendo la doctrina del Tribunal Constitucional (sentencia 93/2013, de 23 de abril), que considera que no han de atribuirse a la unión de hecho los mismos efectos del matrimonio.</w:t>
      </w:r>
    </w:p>
  </w:footnote>
  <w:footnote w:id="92">
    <w:p w14:paraId="10923240" w14:textId="556F9F4B" w:rsidR="00490DCA" w:rsidRDefault="00490DCA" w:rsidP="00490DCA">
      <w:pPr>
        <w:pStyle w:val="Textonotapie"/>
        <w:jc w:val="both"/>
      </w:pPr>
      <w:r>
        <w:rPr>
          <w:rStyle w:val="Refdenotaalpie"/>
        </w:rPr>
        <w:footnoteRef/>
      </w:r>
      <w:r>
        <w:t xml:space="preserve"> También plantea la mejora del régimen de liquidación de las deudas de la sucesión: la modificación del sistema de responsabilidad de las deudas hereditarias, en caso de aceptación pura y simple, “</w:t>
      </w:r>
      <w:r w:rsidRPr="00490DCA">
        <w:rPr>
          <w:i/>
          <w:iCs/>
        </w:rPr>
        <w:t>ultra vires</w:t>
      </w:r>
      <w:r>
        <w:t>”, esto es, no sólo con los bienes de la herencia, sino también con los bienes propios, para pasar a un sistema de responsabilidad limitada al patrimonio hereditario (como sucede hoy en el Derecho aragonés, navarro y del País Vasco).</w:t>
      </w:r>
    </w:p>
  </w:footnote>
  <w:footnote w:id="93">
    <w:p w14:paraId="65E4602C" w14:textId="758F0122" w:rsidR="007922DE" w:rsidRDefault="007922DE" w:rsidP="007922DE">
      <w:pPr>
        <w:pStyle w:val="Textonotapie"/>
        <w:jc w:val="both"/>
      </w:pPr>
      <w:r>
        <w:rPr>
          <w:rStyle w:val="Refdenotaalpie"/>
        </w:rPr>
        <w:footnoteRef/>
      </w:r>
      <w:r>
        <w:t xml:space="preserve"> “Las propuestas de reforma del Código Civil español”, en la Revista Jurídica de Castilla y León, número 61, febrero de 2024, página 86.</w:t>
      </w:r>
    </w:p>
  </w:footnote>
  <w:footnote w:id="94">
    <w:p w14:paraId="2B73E9B8" w14:textId="2F18F30D" w:rsidR="007922DE" w:rsidRDefault="007922DE">
      <w:pPr>
        <w:pStyle w:val="Textonotapie"/>
      </w:pPr>
      <w:r>
        <w:rPr>
          <w:rStyle w:val="Refdenotaalpie"/>
        </w:rPr>
        <w:footnoteRef/>
      </w:r>
      <w:r>
        <w:t xml:space="preserve"> Declaraciones realizadas en enero de 2023.</w:t>
      </w:r>
    </w:p>
  </w:footnote>
  <w:footnote w:id="95">
    <w:p w14:paraId="64D11442" w14:textId="4D8DAE50" w:rsidR="00017238" w:rsidRPr="00017238" w:rsidRDefault="00017238" w:rsidP="00017238">
      <w:pPr>
        <w:pStyle w:val="Textonotapie"/>
        <w:jc w:val="both"/>
      </w:pPr>
      <w:r>
        <w:rPr>
          <w:rStyle w:val="Refdenotaalpie"/>
        </w:rPr>
        <w:footnoteRef/>
      </w:r>
      <w:r>
        <w:t xml:space="preserve"> Alejado de la tradición jurídica sucesoria del derecho castellano. Buena prueba de ello es un caso reciente que tuve en mi notaría: un matrimonio me pidió consulta para hacer testamento; me expusieron que querían dejarse el uno al otro la propiedad total de sus bienes; cuando les informé que esto no era posible, ya que los hijos tenían una legítima de 2/3 de la herencia de cada uno de ellos</w:t>
      </w:r>
      <w:r w:rsidR="00741D4F">
        <w:t xml:space="preserve"> (legítima larga)</w:t>
      </w:r>
      <w:r>
        <w:t xml:space="preserve">, manifestaron abiertamente su estupor. No obstante, al valorar la posibilidad de la libertad de testar como alternativa </w:t>
      </w:r>
      <w:r w:rsidRPr="00017238">
        <w:rPr>
          <w:i/>
          <w:iCs/>
        </w:rPr>
        <w:t>de lege ferenda</w:t>
      </w:r>
      <w:r>
        <w:rPr>
          <w:i/>
          <w:iCs/>
        </w:rPr>
        <w:t xml:space="preserve">, </w:t>
      </w:r>
      <w:r>
        <w:t>la esposa consultante expresó su preocupación, de establecerse dicha posibilidad, de que, en el caso de fallecer ella primero y heredar su marido la totalidad de los bienes, éste otorgase testamento a favor de personas distintas de sus hijos y descendientes comunes. Por lo que, curiosamente, al final, valoraron positivamente la existencia de las legítimas. Esta es la razón por la que defiendo la necesidad de reforma de las legítimas, reforma del sistema legitimario radical, pero no su supresión.</w:t>
      </w:r>
      <w:r w:rsidR="00741D4F">
        <w:t xml:space="preserve"> Si el sistema legitimario no tuviera ya, en la sociedad actual, un fundamento suficiente para vetar la libertad de testar debería suprimirse. Pero, si lo tiene, como creo, y es suficiente, ha de mantenerse, si bien procediendo a una reforma en profundidad para adaptarlo a las nuevas circunstancias familiares, sociales y económicas.</w:t>
      </w:r>
    </w:p>
  </w:footnote>
  <w:footnote w:id="96">
    <w:p w14:paraId="566BFFC8" w14:textId="00ECC869" w:rsidR="009D4691" w:rsidRDefault="009D4691" w:rsidP="00CF7655">
      <w:pPr>
        <w:pStyle w:val="Textonotapie"/>
        <w:jc w:val="both"/>
      </w:pPr>
      <w:r>
        <w:rPr>
          <w:rStyle w:val="Refdenotaalpie"/>
        </w:rPr>
        <w:footnoteRef/>
      </w:r>
      <w:r>
        <w:t xml:space="preserve"> La asistencia social ha de venir </w:t>
      </w:r>
      <w:r w:rsidR="00BC42C3">
        <w:t>proporcionada</w:t>
      </w:r>
      <w:r>
        <w:t xml:space="preserve">, </w:t>
      </w:r>
      <w:r w:rsidR="00CF7655">
        <w:t xml:space="preserve">con el transcurso del tiempo, </w:t>
      </w:r>
      <w:r>
        <w:t>más que por la familia, por las instituciones</w:t>
      </w:r>
      <w:r w:rsidR="00BC42C3">
        <w:t xml:space="preserve"> públicas</w:t>
      </w:r>
      <w:r>
        <w:t xml:space="preserve">. </w:t>
      </w:r>
      <w:r w:rsidRPr="006807DC">
        <w:rPr>
          <w:i/>
          <w:iCs/>
        </w:rPr>
        <w:t>La legítima asistencial y alimenticia tiene que ir siendo, progresivamente, sustituida por un sistema de cobertura</w:t>
      </w:r>
      <w:r w:rsidR="00BC42C3" w:rsidRPr="006807DC">
        <w:rPr>
          <w:i/>
          <w:iCs/>
        </w:rPr>
        <w:t xml:space="preserve"> general y</w:t>
      </w:r>
      <w:r w:rsidRPr="006807DC">
        <w:rPr>
          <w:i/>
          <w:iCs/>
        </w:rPr>
        <w:t xml:space="preserve"> pública</w:t>
      </w:r>
      <w:r>
        <w:t xml:space="preserve">. El desarrollo de la inteligencia </w:t>
      </w:r>
      <w:r w:rsidR="00CF7655">
        <w:t>artificial, en sus múltiples aplicaciones profesionales y empresariales, determinará, más pronto que tarde, la necesidad de instaurar un sistema impositivo que permita la protección de las necesidades humanas, en un futuro cercano en el que la mayor parte de las actividades hoy realizadas por las personas serán realizadas por robots, ordenadores u otros sistemas tecnológicos.</w:t>
      </w:r>
    </w:p>
  </w:footnote>
  <w:footnote w:id="97">
    <w:p w14:paraId="38F83366" w14:textId="0CE6682D" w:rsidR="00535E78" w:rsidRDefault="00535E78" w:rsidP="00535E78">
      <w:pPr>
        <w:pStyle w:val="Textonotapie"/>
        <w:jc w:val="both"/>
      </w:pPr>
      <w:r>
        <w:rPr>
          <w:rStyle w:val="Refdenotaalpie"/>
        </w:rPr>
        <w:footnoteRef/>
      </w:r>
      <w:r>
        <w:t xml:space="preserve"> Sobre el alcance y sentido de la reforma del sistema legitimario en el Código Civil español, hemos visto que existen opiniones totalmente discrepantes: desde los que defienden la supresión del sistema legitimario hasta los que defienden su mantenimiento, sin ninguna modificación, con leves retoques, o con modificaciones más o menos variadas, de mayor o menor alcance. El consenso en esta materia está muy lejos de conseguirse. Las propuestas recogidas en este discurso responden a criterios exclusivamente personales, basadas en la experiencia de más de treinta años de ejercicio como notario, pero, lógicamente, son todas y cada una de ellas opinables.</w:t>
      </w:r>
    </w:p>
  </w:footnote>
  <w:footnote w:id="98">
    <w:p w14:paraId="02829B68" w14:textId="6D6E597E" w:rsidR="008E09FB" w:rsidRDefault="008E09FB" w:rsidP="00BD6F59">
      <w:pPr>
        <w:pStyle w:val="Textonotapie"/>
        <w:jc w:val="both"/>
      </w:pPr>
      <w:r>
        <w:rPr>
          <w:rStyle w:val="Refdenotaalpie"/>
        </w:rPr>
        <w:footnoteRef/>
      </w:r>
      <w:r>
        <w:t xml:space="preserve"> Debería recogerse también en la legislación estatal una regulación similar a la contenida en </w:t>
      </w:r>
      <w:r w:rsidR="003B7457">
        <w:t>el artículo 240 del Código Civil de Cataluña (en su redacción dada por la Ley 5/2010, de 29 de julio, que sustituyó a la establecida en</w:t>
      </w:r>
      <w:r>
        <w:t xml:space="preserve"> la</w:t>
      </w:r>
      <w:r w:rsidR="003B7457">
        <w:t xml:space="preserve"> hoy derogada</w:t>
      </w:r>
      <w:r>
        <w:t xml:space="preserve"> Ley 19/1998, de 28 de diciembre, de Situaciones Convivenciales de Ayuda Mutua</w:t>
      </w:r>
      <w:r w:rsidR="003B7457">
        <w:t>)</w:t>
      </w:r>
      <w:r>
        <w:t>: relaciones formadas por dos o más personas que conviven en una misma vivienda habitual y que comparten, sin contraprestación y con voluntad de permanencia y de ayuda mutua, los gastos comunes o el trabajo doméstico, o ambas cosas</w:t>
      </w:r>
      <w:r w:rsidR="00BD6F59">
        <w:t>. ¿Qué ocurre si uno de ellos fallece? Parece equitativo regular algún sistema de protección (derecho temporal al uso de la vivienda, derecho temporal a una prestación económica, a cargo de los herederos del fallecido</w:t>
      </w:r>
      <w:r w:rsidR="001E75C5">
        <w:t>, si el conviviente sobreviviente era mantenido total o parcialmente por el premuerto y carece de medios económicos suficientes para mantenerse</w:t>
      </w:r>
      <w:r w:rsidR="00BD6F59">
        <w:t>).</w:t>
      </w:r>
    </w:p>
  </w:footnote>
  <w:footnote w:id="99">
    <w:p w14:paraId="2FD00313" w14:textId="32FC5F67" w:rsidR="000C5DF5" w:rsidRDefault="000C5DF5" w:rsidP="000C5DF5">
      <w:pPr>
        <w:pStyle w:val="Textonotapie"/>
        <w:jc w:val="both"/>
      </w:pPr>
      <w:r>
        <w:rPr>
          <w:rStyle w:val="Refdenotaalpie"/>
        </w:rPr>
        <w:footnoteRef/>
      </w:r>
      <w:r>
        <w:t xml:space="preserve"> En la Compilación de Derecho consuetudinario asturiano, publicada por la Junta General del Principado de Asturias, en el año 2007, se recoge -ciertamente, sin un estricto rigor técnico jurídico- la figura del que se denomina “testamento mancomunado” (página 127), referido al que otorgan los cónyuges el mismo día en forma abierta ante notario, en dos escrituras separadas, pero con numeración consecutiva y colocadas una a continuación de otra en el libro de protocolos notariales, con cláusulas idénticas dentro de las cuales estipulan con carácter recíproco la viudedad universal.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A363D"/>
    <w:multiLevelType w:val="hybridMultilevel"/>
    <w:tmpl w:val="0AD26514"/>
    <w:lvl w:ilvl="0" w:tplc="92C03A9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678039A"/>
    <w:multiLevelType w:val="hybridMultilevel"/>
    <w:tmpl w:val="934C2D3E"/>
    <w:lvl w:ilvl="0" w:tplc="BA5E44B8">
      <w:start w:val="1"/>
      <w:numFmt w:val="lowerLetter"/>
      <w:lvlText w:val="%1)"/>
      <w:lvlJc w:val="left"/>
      <w:pPr>
        <w:ind w:left="1428" w:hanging="360"/>
      </w:pPr>
      <w:rPr>
        <w:rFonts w:hint="default"/>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487B597F"/>
    <w:multiLevelType w:val="hybridMultilevel"/>
    <w:tmpl w:val="702E3082"/>
    <w:lvl w:ilvl="0" w:tplc="5E72CE1A">
      <w:start w:val="1"/>
      <w:numFmt w:val="upperLetter"/>
      <w:lvlText w:val="%1)"/>
      <w:lvlJc w:val="left"/>
      <w:pPr>
        <w:ind w:left="1068" w:hanging="360"/>
      </w:pPr>
      <w:rPr>
        <w:rFonts w:ascii="Tahoma" w:eastAsiaTheme="minorHAnsi" w:hAnsi="Tahoma" w:cs="Tahoma"/>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65BF1249"/>
    <w:multiLevelType w:val="hybridMultilevel"/>
    <w:tmpl w:val="59A690A8"/>
    <w:lvl w:ilvl="0" w:tplc="1BC49414">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16cid:durableId="2145611309">
    <w:abstractNumId w:val="2"/>
  </w:num>
  <w:num w:numId="2" w16cid:durableId="1876699907">
    <w:abstractNumId w:val="1"/>
  </w:num>
  <w:num w:numId="3" w16cid:durableId="1304047583">
    <w:abstractNumId w:val="0"/>
  </w:num>
  <w:num w:numId="4" w16cid:durableId="11017543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924"/>
    <w:rsid w:val="000118E0"/>
    <w:rsid w:val="0001453D"/>
    <w:rsid w:val="00017238"/>
    <w:rsid w:val="0002371A"/>
    <w:rsid w:val="00024687"/>
    <w:rsid w:val="00025EA9"/>
    <w:rsid w:val="0003255B"/>
    <w:rsid w:val="00055918"/>
    <w:rsid w:val="00055C2A"/>
    <w:rsid w:val="00060E60"/>
    <w:rsid w:val="00060FCD"/>
    <w:rsid w:val="00080DA4"/>
    <w:rsid w:val="000B1B3F"/>
    <w:rsid w:val="000B4ED6"/>
    <w:rsid w:val="000B5B49"/>
    <w:rsid w:val="000B70F7"/>
    <w:rsid w:val="000C2BFC"/>
    <w:rsid w:val="000C5DF5"/>
    <w:rsid w:val="000D63AA"/>
    <w:rsid w:val="000F1904"/>
    <w:rsid w:val="000F6093"/>
    <w:rsid w:val="00113C4F"/>
    <w:rsid w:val="00133A96"/>
    <w:rsid w:val="00133BA8"/>
    <w:rsid w:val="00140138"/>
    <w:rsid w:val="00146886"/>
    <w:rsid w:val="00157C4D"/>
    <w:rsid w:val="0016317E"/>
    <w:rsid w:val="00170178"/>
    <w:rsid w:val="00176E0A"/>
    <w:rsid w:val="00184D01"/>
    <w:rsid w:val="00186EE2"/>
    <w:rsid w:val="00192944"/>
    <w:rsid w:val="001A0C42"/>
    <w:rsid w:val="001A2314"/>
    <w:rsid w:val="001B20D1"/>
    <w:rsid w:val="001C0CC5"/>
    <w:rsid w:val="001C12AA"/>
    <w:rsid w:val="001C7E6F"/>
    <w:rsid w:val="001E0139"/>
    <w:rsid w:val="001E5A52"/>
    <w:rsid w:val="001E75C5"/>
    <w:rsid w:val="001F06BE"/>
    <w:rsid w:val="002216E3"/>
    <w:rsid w:val="002251F3"/>
    <w:rsid w:val="002264CD"/>
    <w:rsid w:val="002339A8"/>
    <w:rsid w:val="002353BD"/>
    <w:rsid w:val="00237DD4"/>
    <w:rsid w:val="00240520"/>
    <w:rsid w:val="00251F09"/>
    <w:rsid w:val="00263BAE"/>
    <w:rsid w:val="00264727"/>
    <w:rsid w:val="00265E38"/>
    <w:rsid w:val="00274570"/>
    <w:rsid w:val="00296B69"/>
    <w:rsid w:val="002A034D"/>
    <w:rsid w:val="002A0DF2"/>
    <w:rsid w:val="002A1A7D"/>
    <w:rsid w:val="002A69ED"/>
    <w:rsid w:val="002C12D3"/>
    <w:rsid w:val="002C4BCF"/>
    <w:rsid w:val="002D1321"/>
    <w:rsid w:val="002D1513"/>
    <w:rsid w:val="002E069A"/>
    <w:rsid w:val="002E0D64"/>
    <w:rsid w:val="002E13D3"/>
    <w:rsid w:val="002E23F9"/>
    <w:rsid w:val="002E674E"/>
    <w:rsid w:val="002F28A2"/>
    <w:rsid w:val="002F45C1"/>
    <w:rsid w:val="00301A7B"/>
    <w:rsid w:val="0030431F"/>
    <w:rsid w:val="00307A52"/>
    <w:rsid w:val="003347FC"/>
    <w:rsid w:val="00344903"/>
    <w:rsid w:val="00353020"/>
    <w:rsid w:val="00366581"/>
    <w:rsid w:val="00393AC5"/>
    <w:rsid w:val="003B1CB6"/>
    <w:rsid w:val="003B252E"/>
    <w:rsid w:val="003B7457"/>
    <w:rsid w:val="003C3FE6"/>
    <w:rsid w:val="003D4AF5"/>
    <w:rsid w:val="003D6F65"/>
    <w:rsid w:val="003E45B7"/>
    <w:rsid w:val="003F7BF7"/>
    <w:rsid w:val="00401FC6"/>
    <w:rsid w:val="0041673E"/>
    <w:rsid w:val="00417797"/>
    <w:rsid w:val="00446E5E"/>
    <w:rsid w:val="00447DC8"/>
    <w:rsid w:val="00447EFD"/>
    <w:rsid w:val="00452842"/>
    <w:rsid w:val="00460C29"/>
    <w:rsid w:val="004741D0"/>
    <w:rsid w:val="00486BC7"/>
    <w:rsid w:val="00490DCA"/>
    <w:rsid w:val="004B3F4E"/>
    <w:rsid w:val="004C304D"/>
    <w:rsid w:val="004D2743"/>
    <w:rsid w:val="004D5829"/>
    <w:rsid w:val="004F03DB"/>
    <w:rsid w:val="0050485D"/>
    <w:rsid w:val="00514A0A"/>
    <w:rsid w:val="00514D39"/>
    <w:rsid w:val="00516745"/>
    <w:rsid w:val="00524DF3"/>
    <w:rsid w:val="00530D63"/>
    <w:rsid w:val="00535E78"/>
    <w:rsid w:val="00543FEC"/>
    <w:rsid w:val="00565191"/>
    <w:rsid w:val="00581FD6"/>
    <w:rsid w:val="00583644"/>
    <w:rsid w:val="00593AF9"/>
    <w:rsid w:val="005A02AF"/>
    <w:rsid w:val="005A2200"/>
    <w:rsid w:val="005B64A4"/>
    <w:rsid w:val="005C00C3"/>
    <w:rsid w:val="005C200E"/>
    <w:rsid w:val="005C2825"/>
    <w:rsid w:val="005E2650"/>
    <w:rsid w:val="00602D7F"/>
    <w:rsid w:val="006119D1"/>
    <w:rsid w:val="00621849"/>
    <w:rsid w:val="006240D4"/>
    <w:rsid w:val="00626EB4"/>
    <w:rsid w:val="00630262"/>
    <w:rsid w:val="00635E4B"/>
    <w:rsid w:val="0064581C"/>
    <w:rsid w:val="00645B8C"/>
    <w:rsid w:val="00652881"/>
    <w:rsid w:val="00660EA0"/>
    <w:rsid w:val="00666939"/>
    <w:rsid w:val="00675D8A"/>
    <w:rsid w:val="006807DC"/>
    <w:rsid w:val="00685C60"/>
    <w:rsid w:val="00686FF8"/>
    <w:rsid w:val="0068758D"/>
    <w:rsid w:val="006A3DAF"/>
    <w:rsid w:val="006A6561"/>
    <w:rsid w:val="006E23F5"/>
    <w:rsid w:val="006E3EFA"/>
    <w:rsid w:val="006E653A"/>
    <w:rsid w:val="006E6852"/>
    <w:rsid w:val="006E7204"/>
    <w:rsid w:val="006F5211"/>
    <w:rsid w:val="0071644B"/>
    <w:rsid w:val="00727B72"/>
    <w:rsid w:val="00731C72"/>
    <w:rsid w:val="00741D4F"/>
    <w:rsid w:val="00755128"/>
    <w:rsid w:val="007574AC"/>
    <w:rsid w:val="00762E82"/>
    <w:rsid w:val="00763A2E"/>
    <w:rsid w:val="007922DE"/>
    <w:rsid w:val="00796454"/>
    <w:rsid w:val="007A0BAF"/>
    <w:rsid w:val="007B6471"/>
    <w:rsid w:val="007C180D"/>
    <w:rsid w:val="007D1518"/>
    <w:rsid w:val="007D5ED7"/>
    <w:rsid w:val="007D6EE8"/>
    <w:rsid w:val="0080637E"/>
    <w:rsid w:val="00813BA4"/>
    <w:rsid w:val="00835A43"/>
    <w:rsid w:val="008405DD"/>
    <w:rsid w:val="00841A8C"/>
    <w:rsid w:val="00844E41"/>
    <w:rsid w:val="00850B74"/>
    <w:rsid w:val="008531E8"/>
    <w:rsid w:val="00855CFD"/>
    <w:rsid w:val="00880E42"/>
    <w:rsid w:val="00886ECA"/>
    <w:rsid w:val="008A6D50"/>
    <w:rsid w:val="008B6303"/>
    <w:rsid w:val="008C525D"/>
    <w:rsid w:val="008D1C67"/>
    <w:rsid w:val="008D7889"/>
    <w:rsid w:val="008E09FB"/>
    <w:rsid w:val="008F5DB6"/>
    <w:rsid w:val="008F78B5"/>
    <w:rsid w:val="008F7C9C"/>
    <w:rsid w:val="00900C02"/>
    <w:rsid w:val="00900F60"/>
    <w:rsid w:val="009104D5"/>
    <w:rsid w:val="009105F7"/>
    <w:rsid w:val="00914A04"/>
    <w:rsid w:val="00926D1B"/>
    <w:rsid w:val="00931131"/>
    <w:rsid w:val="00937A6E"/>
    <w:rsid w:val="009417BD"/>
    <w:rsid w:val="00941FD2"/>
    <w:rsid w:val="00952E95"/>
    <w:rsid w:val="00955F68"/>
    <w:rsid w:val="00975B92"/>
    <w:rsid w:val="00990F23"/>
    <w:rsid w:val="00996542"/>
    <w:rsid w:val="009A1FB2"/>
    <w:rsid w:val="009A5D7A"/>
    <w:rsid w:val="009B7433"/>
    <w:rsid w:val="009C41F9"/>
    <w:rsid w:val="009C7F68"/>
    <w:rsid w:val="009D4691"/>
    <w:rsid w:val="009F3427"/>
    <w:rsid w:val="00A0148F"/>
    <w:rsid w:val="00A01A0A"/>
    <w:rsid w:val="00A17EEA"/>
    <w:rsid w:val="00A21FFA"/>
    <w:rsid w:val="00A33504"/>
    <w:rsid w:val="00A36BDD"/>
    <w:rsid w:val="00A4354F"/>
    <w:rsid w:val="00A53499"/>
    <w:rsid w:val="00A56A00"/>
    <w:rsid w:val="00A6643D"/>
    <w:rsid w:val="00A803F0"/>
    <w:rsid w:val="00A939E1"/>
    <w:rsid w:val="00A96892"/>
    <w:rsid w:val="00AE47CE"/>
    <w:rsid w:val="00AF1E40"/>
    <w:rsid w:val="00B031E1"/>
    <w:rsid w:val="00B04A22"/>
    <w:rsid w:val="00B05717"/>
    <w:rsid w:val="00B11741"/>
    <w:rsid w:val="00B17DF9"/>
    <w:rsid w:val="00B30555"/>
    <w:rsid w:val="00B35F1F"/>
    <w:rsid w:val="00B417F6"/>
    <w:rsid w:val="00B56B7C"/>
    <w:rsid w:val="00B6378C"/>
    <w:rsid w:val="00B64AA1"/>
    <w:rsid w:val="00B71BCA"/>
    <w:rsid w:val="00B85829"/>
    <w:rsid w:val="00B85AE0"/>
    <w:rsid w:val="00B866FF"/>
    <w:rsid w:val="00BA1E35"/>
    <w:rsid w:val="00BA5000"/>
    <w:rsid w:val="00BB1EF7"/>
    <w:rsid w:val="00BB267C"/>
    <w:rsid w:val="00BB5457"/>
    <w:rsid w:val="00BB558E"/>
    <w:rsid w:val="00BB7517"/>
    <w:rsid w:val="00BC3E7F"/>
    <w:rsid w:val="00BC42C3"/>
    <w:rsid w:val="00BC5789"/>
    <w:rsid w:val="00BD042D"/>
    <w:rsid w:val="00BD1AB6"/>
    <w:rsid w:val="00BD211B"/>
    <w:rsid w:val="00BD56A2"/>
    <w:rsid w:val="00BD6F59"/>
    <w:rsid w:val="00BE55C6"/>
    <w:rsid w:val="00C02F88"/>
    <w:rsid w:val="00C034FA"/>
    <w:rsid w:val="00C17218"/>
    <w:rsid w:val="00C212A2"/>
    <w:rsid w:val="00C21921"/>
    <w:rsid w:val="00C25C85"/>
    <w:rsid w:val="00C37628"/>
    <w:rsid w:val="00C41046"/>
    <w:rsid w:val="00C55781"/>
    <w:rsid w:val="00C61654"/>
    <w:rsid w:val="00C7187E"/>
    <w:rsid w:val="00C94924"/>
    <w:rsid w:val="00C950A3"/>
    <w:rsid w:val="00C96911"/>
    <w:rsid w:val="00CA3EB4"/>
    <w:rsid w:val="00CA711F"/>
    <w:rsid w:val="00CA7704"/>
    <w:rsid w:val="00CB384C"/>
    <w:rsid w:val="00CD19E1"/>
    <w:rsid w:val="00CE0384"/>
    <w:rsid w:val="00CE4347"/>
    <w:rsid w:val="00CE4454"/>
    <w:rsid w:val="00CF7655"/>
    <w:rsid w:val="00D01EB5"/>
    <w:rsid w:val="00D12DAD"/>
    <w:rsid w:val="00D27EF7"/>
    <w:rsid w:val="00D40592"/>
    <w:rsid w:val="00D55389"/>
    <w:rsid w:val="00D60B6D"/>
    <w:rsid w:val="00D71829"/>
    <w:rsid w:val="00D808C2"/>
    <w:rsid w:val="00D876AF"/>
    <w:rsid w:val="00D912E0"/>
    <w:rsid w:val="00D95E91"/>
    <w:rsid w:val="00DB162B"/>
    <w:rsid w:val="00DB373E"/>
    <w:rsid w:val="00DC0A15"/>
    <w:rsid w:val="00DC67C8"/>
    <w:rsid w:val="00DD24F6"/>
    <w:rsid w:val="00DD3CC0"/>
    <w:rsid w:val="00DE5FFF"/>
    <w:rsid w:val="00E00511"/>
    <w:rsid w:val="00E02A40"/>
    <w:rsid w:val="00E0381A"/>
    <w:rsid w:val="00E151DD"/>
    <w:rsid w:val="00E17AE5"/>
    <w:rsid w:val="00E227A6"/>
    <w:rsid w:val="00E25870"/>
    <w:rsid w:val="00E27718"/>
    <w:rsid w:val="00E304DC"/>
    <w:rsid w:val="00E44609"/>
    <w:rsid w:val="00E51816"/>
    <w:rsid w:val="00E53466"/>
    <w:rsid w:val="00E552D3"/>
    <w:rsid w:val="00E6134F"/>
    <w:rsid w:val="00E63C81"/>
    <w:rsid w:val="00E7045F"/>
    <w:rsid w:val="00E95D94"/>
    <w:rsid w:val="00EB2709"/>
    <w:rsid w:val="00EC564C"/>
    <w:rsid w:val="00ED459E"/>
    <w:rsid w:val="00EE26CF"/>
    <w:rsid w:val="00EE38E0"/>
    <w:rsid w:val="00EE4B3F"/>
    <w:rsid w:val="00EF0628"/>
    <w:rsid w:val="00EF2D0E"/>
    <w:rsid w:val="00F01A56"/>
    <w:rsid w:val="00F052B0"/>
    <w:rsid w:val="00F37746"/>
    <w:rsid w:val="00F53473"/>
    <w:rsid w:val="00F6747A"/>
    <w:rsid w:val="00F674D4"/>
    <w:rsid w:val="00F8171C"/>
    <w:rsid w:val="00F8178C"/>
    <w:rsid w:val="00F8433B"/>
    <w:rsid w:val="00F8510E"/>
    <w:rsid w:val="00FA5A04"/>
    <w:rsid w:val="00FA5DB8"/>
    <w:rsid w:val="00FB40E3"/>
    <w:rsid w:val="00FC3E79"/>
    <w:rsid w:val="00FD2397"/>
    <w:rsid w:val="00FD63A1"/>
    <w:rsid w:val="00FD7909"/>
    <w:rsid w:val="00FE1777"/>
    <w:rsid w:val="00FE2F8F"/>
    <w:rsid w:val="00FF0804"/>
    <w:rsid w:val="00FF5031"/>
    <w:rsid w:val="00FF6E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3C5C1"/>
  <w15:chartTrackingRefBased/>
  <w15:docId w15:val="{23C4BB7B-1988-4676-95FB-6D2AAE5ED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94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94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9492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9492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9492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949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949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949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9492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492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9492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9492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9492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9492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9492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9492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9492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94924"/>
    <w:rPr>
      <w:rFonts w:eastAsiaTheme="majorEastAsia" w:cstheme="majorBidi"/>
      <w:color w:val="272727" w:themeColor="text1" w:themeTint="D8"/>
    </w:rPr>
  </w:style>
  <w:style w:type="paragraph" w:styleId="Ttulo">
    <w:name w:val="Title"/>
    <w:basedOn w:val="Normal"/>
    <w:next w:val="Normal"/>
    <w:link w:val="TtuloCar"/>
    <w:uiPriority w:val="10"/>
    <w:qFormat/>
    <w:rsid w:val="00C94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949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9492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9492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94924"/>
    <w:pPr>
      <w:spacing w:before="160"/>
      <w:jc w:val="center"/>
    </w:pPr>
    <w:rPr>
      <w:i/>
      <w:iCs/>
      <w:color w:val="404040" w:themeColor="text1" w:themeTint="BF"/>
    </w:rPr>
  </w:style>
  <w:style w:type="character" w:customStyle="1" w:styleId="CitaCar">
    <w:name w:val="Cita Car"/>
    <w:basedOn w:val="Fuentedeprrafopredeter"/>
    <w:link w:val="Cita"/>
    <w:uiPriority w:val="29"/>
    <w:rsid w:val="00C94924"/>
    <w:rPr>
      <w:i/>
      <w:iCs/>
      <w:color w:val="404040" w:themeColor="text1" w:themeTint="BF"/>
    </w:rPr>
  </w:style>
  <w:style w:type="paragraph" w:styleId="Prrafodelista">
    <w:name w:val="List Paragraph"/>
    <w:basedOn w:val="Normal"/>
    <w:uiPriority w:val="34"/>
    <w:qFormat/>
    <w:rsid w:val="00C94924"/>
    <w:pPr>
      <w:ind w:left="720"/>
      <w:contextualSpacing/>
    </w:pPr>
  </w:style>
  <w:style w:type="character" w:styleId="nfasisintenso">
    <w:name w:val="Intense Emphasis"/>
    <w:basedOn w:val="Fuentedeprrafopredeter"/>
    <w:uiPriority w:val="21"/>
    <w:qFormat/>
    <w:rsid w:val="00C94924"/>
    <w:rPr>
      <w:i/>
      <w:iCs/>
      <w:color w:val="0F4761" w:themeColor="accent1" w:themeShade="BF"/>
    </w:rPr>
  </w:style>
  <w:style w:type="paragraph" w:styleId="Citadestacada">
    <w:name w:val="Intense Quote"/>
    <w:basedOn w:val="Normal"/>
    <w:next w:val="Normal"/>
    <w:link w:val="CitadestacadaCar"/>
    <w:uiPriority w:val="30"/>
    <w:qFormat/>
    <w:rsid w:val="00C94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94924"/>
    <w:rPr>
      <w:i/>
      <w:iCs/>
      <w:color w:val="0F4761" w:themeColor="accent1" w:themeShade="BF"/>
    </w:rPr>
  </w:style>
  <w:style w:type="character" w:styleId="Referenciaintensa">
    <w:name w:val="Intense Reference"/>
    <w:basedOn w:val="Fuentedeprrafopredeter"/>
    <w:uiPriority w:val="32"/>
    <w:qFormat/>
    <w:rsid w:val="00C94924"/>
    <w:rPr>
      <w:b/>
      <w:bCs/>
      <w:smallCaps/>
      <w:color w:val="0F4761" w:themeColor="accent1" w:themeShade="BF"/>
      <w:spacing w:val="5"/>
    </w:rPr>
  </w:style>
  <w:style w:type="paragraph" w:styleId="Textonotaalfinal">
    <w:name w:val="endnote text"/>
    <w:basedOn w:val="Normal"/>
    <w:link w:val="TextonotaalfinalCar"/>
    <w:uiPriority w:val="99"/>
    <w:semiHidden/>
    <w:unhideWhenUsed/>
    <w:rsid w:val="003D4AF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D4AF5"/>
    <w:rPr>
      <w:sz w:val="20"/>
      <w:szCs w:val="20"/>
    </w:rPr>
  </w:style>
  <w:style w:type="character" w:styleId="Refdenotaalfinal">
    <w:name w:val="endnote reference"/>
    <w:basedOn w:val="Fuentedeprrafopredeter"/>
    <w:uiPriority w:val="99"/>
    <w:semiHidden/>
    <w:unhideWhenUsed/>
    <w:rsid w:val="003D4AF5"/>
    <w:rPr>
      <w:vertAlign w:val="superscript"/>
    </w:rPr>
  </w:style>
  <w:style w:type="paragraph" w:styleId="Textonotapie">
    <w:name w:val="footnote text"/>
    <w:basedOn w:val="Normal"/>
    <w:link w:val="TextonotapieCar"/>
    <w:uiPriority w:val="99"/>
    <w:unhideWhenUsed/>
    <w:rsid w:val="003D4AF5"/>
    <w:pPr>
      <w:spacing w:after="0" w:line="240" w:lineRule="auto"/>
    </w:pPr>
    <w:rPr>
      <w:sz w:val="20"/>
      <w:szCs w:val="20"/>
    </w:rPr>
  </w:style>
  <w:style w:type="character" w:customStyle="1" w:styleId="TextonotapieCar">
    <w:name w:val="Texto nota pie Car"/>
    <w:basedOn w:val="Fuentedeprrafopredeter"/>
    <w:link w:val="Textonotapie"/>
    <w:uiPriority w:val="99"/>
    <w:rsid w:val="003D4AF5"/>
    <w:rPr>
      <w:sz w:val="20"/>
      <w:szCs w:val="20"/>
    </w:rPr>
  </w:style>
  <w:style w:type="character" w:styleId="Refdenotaalpie">
    <w:name w:val="footnote reference"/>
    <w:basedOn w:val="Fuentedeprrafopredeter"/>
    <w:uiPriority w:val="99"/>
    <w:semiHidden/>
    <w:unhideWhenUsed/>
    <w:rsid w:val="003D4AF5"/>
    <w:rPr>
      <w:vertAlign w:val="superscript"/>
    </w:rPr>
  </w:style>
  <w:style w:type="character" w:styleId="Hipervnculo">
    <w:name w:val="Hyperlink"/>
    <w:basedOn w:val="Fuentedeprrafopredeter"/>
    <w:uiPriority w:val="99"/>
    <w:unhideWhenUsed/>
    <w:rsid w:val="003D4AF5"/>
    <w:rPr>
      <w:color w:val="467886" w:themeColor="hyperlink"/>
      <w:u w:val="single"/>
    </w:rPr>
  </w:style>
  <w:style w:type="character" w:styleId="Mencinsinresolver">
    <w:name w:val="Unresolved Mention"/>
    <w:basedOn w:val="Fuentedeprrafopredeter"/>
    <w:uiPriority w:val="99"/>
    <w:semiHidden/>
    <w:unhideWhenUsed/>
    <w:rsid w:val="003D4AF5"/>
    <w:rPr>
      <w:color w:val="605E5C"/>
      <w:shd w:val="clear" w:color="auto" w:fill="E1DFDD"/>
    </w:rPr>
  </w:style>
  <w:style w:type="paragraph" w:styleId="Encabezado">
    <w:name w:val="header"/>
    <w:basedOn w:val="Normal"/>
    <w:link w:val="EncabezadoCar"/>
    <w:uiPriority w:val="99"/>
    <w:unhideWhenUsed/>
    <w:rsid w:val="00F674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747A"/>
  </w:style>
  <w:style w:type="paragraph" w:styleId="Piedepgina">
    <w:name w:val="footer"/>
    <w:basedOn w:val="Normal"/>
    <w:link w:val="PiedepginaCar"/>
    <w:uiPriority w:val="99"/>
    <w:unhideWhenUsed/>
    <w:rsid w:val="00F674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7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derecho.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hayderecho.com" TargetMode="External"/><Relationship Id="rId4" Type="http://schemas.openxmlformats.org/officeDocument/2006/relationships/settings" Target="settings.xml"/><Relationship Id="rId9" Type="http://schemas.openxmlformats.org/officeDocument/2006/relationships/hyperlink" Target="http://www.notariosyregistradore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notariosyregistradores.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18F83-2578-42FE-B71B-89947770F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37</Pages>
  <Words>9639</Words>
  <Characters>53016</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FERNANDEZ LOZANO</dc:creator>
  <cp:keywords/>
  <dc:description/>
  <cp:lastModifiedBy>JOSE LUIS FERNANDEZ LOZANO</cp:lastModifiedBy>
  <cp:revision>6</cp:revision>
  <cp:lastPrinted>2024-05-18T06:52:00Z</cp:lastPrinted>
  <dcterms:created xsi:type="dcterms:W3CDTF">2024-06-15T10:43:00Z</dcterms:created>
  <dcterms:modified xsi:type="dcterms:W3CDTF">2024-06-26T05:49:00Z</dcterms:modified>
</cp:coreProperties>
</file>