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670" w:rsidRDefault="00237670" w:rsidP="0079507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INTERPRETACIÓN JURISDICCIONAL Y CONSTITUCIÓN LÍQUIDA.</w:t>
      </w:r>
    </w:p>
    <w:p w:rsidR="00A9606E" w:rsidRDefault="000F7634" w:rsidP="0079507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CONTESTACIÓN AL DISCURSO DE INGRESO COMO ACADÉMICO DE NÚMERO DE DON IGNACIO VILLAVERDE MENÉNDEZ</w:t>
      </w:r>
    </w:p>
    <w:p w:rsidR="00237670" w:rsidRDefault="00237670" w:rsidP="00237670">
      <w:pPr>
        <w:spacing w:line="360" w:lineRule="auto"/>
        <w:jc w:val="center"/>
        <w:rPr>
          <w:rFonts w:ascii="Times New Roman" w:hAnsi="Times New Roman" w:cs="Times New Roman"/>
          <w:b/>
          <w:sz w:val="24"/>
          <w:szCs w:val="24"/>
        </w:rPr>
      </w:pPr>
      <w:r>
        <w:rPr>
          <w:rFonts w:ascii="Times New Roman" w:hAnsi="Times New Roman" w:cs="Times New Roman"/>
          <w:b/>
          <w:i/>
          <w:sz w:val="24"/>
          <w:szCs w:val="24"/>
        </w:rPr>
        <w:t>Ramón Punset Blanco, Académico de Número de la Real Academia Asturiana de Jurisprudencia</w:t>
      </w:r>
      <w:r>
        <w:rPr>
          <w:rFonts w:ascii="Times New Roman" w:hAnsi="Times New Roman" w:cs="Times New Roman"/>
          <w:b/>
          <w:sz w:val="24"/>
          <w:szCs w:val="24"/>
        </w:rPr>
        <w:t xml:space="preserve">          </w:t>
      </w:r>
    </w:p>
    <w:p w:rsidR="00A971DD" w:rsidRDefault="00A971DD"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Me cabe la gran satisfacción de contestar al brillante discurso de ingreso en esta Real Corporación de mi ilustre colega el Profesor Ignacio Villaverde Menéndez. Él fue alumno de mi venerado Maestro Ignacio de Otto durante la licenciatura en Derecho, lo que crea entre nosotros un fuerte lazo de comunidad metodológica</w:t>
      </w:r>
      <w:r w:rsidR="00FF5711">
        <w:rPr>
          <w:rFonts w:ascii="Times New Roman" w:hAnsi="Times New Roman" w:cs="Times New Roman"/>
          <w:sz w:val="24"/>
          <w:szCs w:val="24"/>
        </w:rPr>
        <w:t xml:space="preserve"> normativista</w:t>
      </w:r>
      <w:r>
        <w:rPr>
          <w:rFonts w:ascii="Times New Roman" w:hAnsi="Times New Roman" w:cs="Times New Roman"/>
          <w:sz w:val="24"/>
          <w:szCs w:val="24"/>
        </w:rPr>
        <w:t xml:space="preserve"> que se mantendrá de por vida</w:t>
      </w:r>
      <w:r w:rsidR="0079507B">
        <w:rPr>
          <w:rFonts w:ascii="Times New Roman" w:hAnsi="Times New Roman" w:cs="Times New Roman"/>
          <w:sz w:val="24"/>
          <w:szCs w:val="24"/>
        </w:rPr>
        <w:t>, a juzgar por cuanto acabo de oír.</w:t>
      </w:r>
    </w:p>
    <w:p w:rsidR="0052512B" w:rsidRDefault="00A971DD"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Los méritos concurrentes en el </w:t>
      </w:r>
      <w:r w:rsidR="00435E2D">
        <w:rPr>
          <w:rFonts w:ascii="Times New Roman" w:hAnsi="Times New Roman" w:cs="Times New Roman"/>
          <w:sz w:val="24"/>
          <w:szCs w:val="24"/>
        </w:rPr>
        <w:t>nuevo miembro</w:t>
      </w:r>
      <w:r w:rsidR="00776992">
        <w:rPr>
          <w:rFonts w:ascii="Times New Roman" w:hAnsi="Times New Roman" w:cs="Times New Roman"/>
          <w:sz w:val="24"/>
          <w:szCs w:val="24"/>
        </w:rPr>
        <w:t xml:space="preserve"> de número</w:t>
      </w:r>
      <w:r w:rsidR="00435E2D">
        <w:rPr>
          <w:rFonts w:ascii="Times New Roman" w:hAnsi="Times New Roman" w:cs="Times New Roman"/>
          <w:sz w:val="24"/>
          <w:szCs w:val="24"/>
        </w:rPr>
        <w:t xml:space="preserve"> de esta Casa son, ciertamente, abrumadores, según acredita el currículum vítae de 50 páginas trasladado a nuestr</w:t>
      </w:r>
      <w:r w:rsidR="00776992">
        <w:rPr>
          <w:rFonts w:ascii="Times New Roman" w:hAnsi="Times New Roman" w:cs="Times New Roman"/>
          <w:sz w:val="24"/>
          <w:szCs w:val="24"/>
        </w:rPr>
        <w:t>o</w:t>
      </w:r>
      <w:r w:rsidR="00435E2D">
        <w:rPr>
          <w:rFonts w:ascii="Times New Roman" w:hAnsi="Times New Roman" w:cs="Times New Roman"/>
          <w:sz w:val="24"/>
          <w:szCs w:val="24"/>
        </w:rPr>
        <w:t xml:space="preserve"> </w:t>
      </w:r>
      <w:r w:rsidR="00776992">
        <w:rPr>
          <w:rFonts w:ascii="Times New Roman" w:hAnsi="Times New Roman" w:cs="Times New Roman"/>
          <w:sz w:val="24"/>
          <w:szCs w:val="24"/>
        </w:rPr>
        <w:t>Pleno</w:t>
      </w:r>
      <w:r w:rsidR="00435E2D">
        <w:rPr>
          <w:rFonts w:ascii="Times New Roman" w:hAnsi="Times New Roman" w:cs="Times New Roman"/>
          <w:sz w:val="24"/>
          <w:szCs w:val="24"/>
        </w:rPr>
        <w:t xml:space="preserve"> de Académicos en orden a su feliz designación, al cual se puede acceder también a través de la web universitaria</w:t>
      </w:r>
      <w:r w:rsidR="00C04C7A">
        <w:rPr>
          <w:rFonts w:ascii="Times New Roman" w:hAnsi="Times New Roman" w:cs="Times New Roman"/>
          <w:sz w:val="24"/>
          <w:szCs w:val="24"/>
        </w:rPr>
        <w:t>. Por ello, me limitaré aquí a realizar un recorrido</w:t>
      </w:r>
      <w:r w:rsidR="0052512B">
        <w:rPr>
          <w:rFonts w:ascii="Times New Roman" w:hAnsi="Times New Roman" w:cs="Times New Roman"/>
          <w:sz w:val="24"/>
          <w:szCs w:val="24"/>
        </w:rPr>
        <w:t xml:space="preserve"> del mismo muy sumario, centrando mi intervención principalmente en la glosa del magnífico texto </w:t>
      </w:r>
      <w:r w:rsidR="007C4345">
        <w:rPr>
          <w:rFonts w:ascii="Times New Roman" w:hAnsi="Times New Roman" w:cs="Times New Roman"/>
          <w:sz w:val="24"/>
          <w:szCs w:val="24"/>
        </w:rPr>
        <w:t>a</w:t>
      </w:r>
      <w:r w:rsidR="0052512B">
        <w:rPr>
          <w:rFonts w:ascii="Times New Roman" w:hAnsi="Times New Roman" w:cs="Times New Roman"/>
          <w:sz w:val="24"/>
          <w:szCs w:val="24"/>
        </w:rPr>
        <w:t xml:space="preserve"> cuya lectura </w:t>
      </w:r>
      <w:r w:rsidR="007C4345">
        <w:rPr>
          <w:rFonts w:ascii="Times New Roman" w:hAnsi="Times New Roman" w:cs="Times New Roman"/>
          <w:sz w:val="24"/>
          <w:szCs w:val="24"/>
        </w:rPr>
        <w:t>hemos asistido en esta velada</w:t>
      </w:r>
      <w:r w:rsidR="0052512B">
        <w:rPr>
          <w:rFonts w:ascii="Times New Roman" w:hAnsi="Times New Roman" w:cs="Times New Roman"/>
          <w:sz w:val="24"/>
          <w:szCs w:val="24"/>
        </w:rPr>
        <w:t>.</w:t>
      </w:r>
    </w:p>
    <w:p w:rsidR="00841BA0" w:rsidRDefault="0052512B"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E0DC8">
        <w:rPr>
          <w:rFonts w:ascii="Times New Roman" w:hAnsi="Times New Roman" w:cs="Times New Roman"/>
          <w:sz w:val="24"/>
          <w:szCs w:val="24"/>
        </w:rPr>
        <w:t xml:space="preserve">Ignacio </w:t>
      </w:r>
      <w:r w:rsidR="00CB34E5">
        <w:rPr>
          <w:rFonts w:ascii="Times New Roman" w:hAnsi="Times New Roman" w:cs="Times New Roman"/>
          <w:sz w:val="24"/>
          <w:szCs w:val="24"/>
        </w:rPr>
        <w:t>Villaverde se licenció en Derecho por la Universidad de Oviedo en 1988 y accedió al título de Doctor en 1993, con una tesis titulada “Estado democrático e información. El derecho a ser informado”, dirigida por el Profesor Francisco Bastida y premiada</w:t>
      </w:r>
      <w:r w:rsidR="00D3479B">
        <w:rPr>
          <w:rFonts w:ascii="Times New Roman" w:hAnsi="Times New Roman" w:cs="Times New Roman"/>
          <w:sz w:val="24"/>
          <w:szCs w:val="24"/>
        </w:rPr>
        <w:t xml:space="preserve"> y editada al año siguiente</w:t>
      </w:r>
      <w:r w:rsidR="00CB34E5">
        <w:rPr>
          <w:rFonts w:ascii="Times New Roman" w:hAnsi="Times New Roman" w:cs="Times New Roman"/>
          <w:sz w:val="24"/>
          <w:szCs w:val="24"/>
        </w:rPr>
        <w:t xml:space="preserve"> por la Junta General del Principado de Asturias</w:t>
      </w:r>
      <w:r w:rsidR="00D3479B">
        <w:rPr>
          <w:rFonts w:ascii="Times New Roman" w:hAnsi="Times New Roman" w:cs="Times New Roman"/>
          <w:sz w:val="24"/>
          <w:szCs w:val="24"/>
        </w:rPr>
        <w:t xml:space="preserve">. </w:t>
      </w:r>
      <w:r w:rsidR="002A2376">
        <w:rPr>
          <w:rFonts w:ascii="Times New Roman" w:hAnsi="Times New Roman" w:cs="Times New Roman"/>
          <w:sz w:val="24"/>
          <w:szCs w:val="24"/>
        </w:rPr>
        <w:t>Este fue también su primer libro, que encabeza una extensa producción científica, de más de un centenar de obras</w:t>
      </w:r>
      <w:r w:rsidR="006C12FD">
        <w:rPr>
          <w:rFonts w:ascii="Times New Roman" w:hAnsi="Times New Roman" w:cs="Times New Roman"/>
          <w:sz w:val="24"/>
          <w:szCs w:val="24"/>
        </w:rPr>
        <w:t>. Por citar únicamente aquellas que revisten la forma de libro de un solo autor</w:t>
      </w:r>
      <w:r w:rsidR="00821DBA">
        <w:rPr>
          <w:rFonts w:ascii="Times New Roman" w:hAnsi="Times New Roman" w:cs="Times New Roman"/>
          <w:sz w:val="24"/>
          <w:szCs w:val="24"/>
        </w:rPr>
        <w:t>, mencionaré las siguientes: “Los derechos del público. El derecho a recibir información del artículo 20.1 CE” (Tecnos, 1995), “La inconstitucionalidad por omisión” (McGraw</w:t>
      </w:r>
      <w:r w:rsidR="00467580">
        <w:rPr>
          <w:rFonts w:ascii="Times New Roman" w:hAnsi="Times New Roman" w:cs="Times New Roman"/>
          <w:sz w:val="24"/>
          <w:szCs w:val="24"/>
        </w:rPr>
        <w:t xml:space="preserve"> </w:t>
      </w:r>
      <w:r w:rsidR="00821DBA">
        <w:rPr>
          <w:rFonts w:ascii="Times New Roman" w:hAnsi="Times New Roman" w:cs="Times New Roman"/>
          <w:sz w:val="24"/>
          <w:szCs w:val="24"/>
        </w:rPr>
        <w:t>Hill, 1997), “La igualdad en la diversidad. Formas de Estado y derechos fundamentales” (CEPC, 2012) y “Los poderes salvajes. Ciberespacio y responsabilidad por contenidos difamatorios</w:t>
      </w:r>
      <w:r w:rsidR="00841BA0">
        <w:rPr>
          <w:rFonts w:ascii="Times New Roman" w:hAnsi="Times New Roman" w:cs="Times New Roman"/>
          <w:sz w:val="24"/>
          <w:szCs w:val="24"/>
        </w:rPr>
        <w:t>” (Marcial Pons, 2020).</w:t>
      </w:r>
    </w:p>
    <w:p w:rsidR="00841BA0" w:rsidRDefault="00841BA0"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En cuanto a trabajos presentados en congresos nacionales o internacionales  son 15, y 76 los aportados a jornadas y seminarios en España o en el extranjero. Tiene reconocidos al presente 6 sexenios de investigación por la CNEAI, figurando entre los autores más citados del Área de Derecho Constitucional.</w:t>
      </w:r>
    </w:p>
    <w:p w:rsidR="0052512B" w:rsidRDefault="00841BA0"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67580">
        <w:rPr>
          <w:rFonts w:ascii="Times New Roman" w:hAnsi="Times New Roman" w:cs="Times New Roman"/>
          <w:sz w:val="24"/>
          <w:szCs w:val="24"/>
        </w:rPr>
        <w:t>Por lo que se refiere a sus estancias</w:t>
      </w:r>
      <w:r>
        <w:rPr>
          <w:rFonts w:ascii="Times New Roman" w:hAnsi="Times New Roman" w:cs="Times New Roman"/>
          <w:sz w:val="24"/>
          <w:szCs w:val="24"/>
        </w:rPr>
        <w:t xml:space="preserve"> </w:t>
      </w:r>
      <w:r w:rsidR="001E5E33">
        <w:rPr>
          <w:rFonts w:ascii="Times New Roman" w:hAnsi="Times New Roman" w:cs="Times New Roman"/>
          <w:sz w:val="24"/>
          <w:szCs w:val="24"/>
        </w:rPr>
        <w:t xml:space="preserve">en centros de I+D+i públicos y privados, se han de hacer constar las </w:t>
      </w:r>
      <w:r w:rsidR="00936B8F">
        <w:rPr>
          <w:rFonts w:ascii="Times New Roman" w:hAnsi="Times New Roman" w:cs="Times New Roman"/>
          <w:sz w:val="24"/>
          <w:szCs w:val="24"/>
        </w:rPr>
        <w:t>manteni</w:t>
      </w:r>
      <w:r w:rsidR="001E5E33">
        <w:rPr>
          <w:rFonts w:ascii="Times New Roman" w:hAnsi="Times New Roman" w:cs="Times New Roman"/>
          <w:sz w:val="24"/>
          <w:szCs w:val="24"/>
        </w:rPr>
        <w:t>das en el Instituto de Derecho Público de la Universidad de Friburgo (1989, 1990 y 1994)</w:t>
      </w:r>
      <w:r w:rsidR="00936B8F">
        <w:rPr>
          <w:rFonts w:ascii="Times New Roman" w:hAnsi="Times New Roman" w:cs="Times New Roman"/>
          <w:sz w:val="24"/>
          <w:szCs w:val="24"/>
        </w:rPr>
        <w:t>, los respectivos Departamentos de Derecho Público de las Universidades de Florencia y Roma (</w:t>
      </w:r>
      <w:r w:rsidR="00A75F83">
        <w:rPr>
          <w:rFonts w:ascii="Times New Roman" w:hAnsi="Times New Roman" w:cs="Times New Roman"/>
          <w:sz w:val="24"/>
          <w:szCs w:val="24"/>
        </w:rPr>
        <w:t xml:space="preserve">ambos en </w:t>
      </w:r>
      <w:r w:rsidR="00936B8F">
        <w:rPr>
          <w:rFonts w:ascii="Times New Roman" w:hAnsi="Times New Roman" w:cs="Times New Roman"/>
          <w:sz w:val="24"/>
          <w:szCs w:val="24"/>
        </w:rPr>
        <w:t xml:space="preserve">1997), la London School of Economics and Political Science  y el Instituto Europa de la Universidad de Edimburgo (ambos en 2002), la New York University </w:t>
      </w:r>
      <w:r w:rsidR="00A75F83">
        <w:rPr>
          <w:rFonts w:ascii="Times New Roman" w:hAnsi="Times New Roman" w:cs="Times New Roman"/>
          <w:sz w:val="24"/>
          <w:szCs w:val="24"/>
        </w:rPr>
        <w:t>(</w:t>
      </w:r>
      <w:r w:rsidR="00936B8F">
        <w:rPr>
          <w:rFonts w:ascii="Times New Roman" w:hAnsi="Times New Roman" w:cs="Times New Roman"/>
          <w:sz w:val="24"/>
          <w:szCs w:val="24"/>
        </w:rPr>
        <w:t>2013), el Dipartimento di Giurisprudenza de la Universidad de Bolonia</w:t>
      </w:r>
      <w:r w:rsidR="00A75F83">
        <w:rPr>
          <w:rFonts w:ascii="Times New Roman" w:hAnsi="Times New Roman" w:cs="Times New Roman"/>
          <w:sz w:val="24"/>
          <w:szCs w:val="24"/>
        </w:rPr>
        <w:t xml:space="preserve"> (2018) y </w:t>
      </w:r>
      <w:r w:rsidR="00EF1345">
        <w:rPr>
          <w:rFonts w:ascii="Times New Roman" w:hAnsi="Times New Roman" w:cs="Times New Roman"/>
          <w:sz w:val="24"/>
          <w:szCs w:val="24"/>
        </w:rPr>
        <w:t xml:space="preserve">el </w:t>
      </w:r>
      <w:r w:rsidR="00A75F83">
        <w:rPr>
          <w:rFonts w:ascii="Times New Roman" w:hAnsi="Times New Roman" w:cs="Times New Roman"/>
          <w:sz w:val="24"/>
          <w:szCs w:val="24"/>
        </w:rPr>
        <w:t>Instituto Max Planck de Derecho Público Comparado y Derecho Internacional de la Universidad de Heidelberg (2019).</w:t>
      </w:r>
    </w:p>
    <w:p w:rsidR="00A75F83" w:rsidRDefault="00A75F83" w:rsidP="00795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F1345">
        <w:rPr>
          <w:rFonts w:ascii="Times New Roman" w:hAnsi="Times New Roman" w:cs="Times New Roman"/>
          <w:sz w:val="24"/>
          <w:szCs w:val="24"/>
        </w:rPr>
        <w:t>El Profesor Villaverde es, en fin, Catedrático de Derecho Constitucional de la Universidad de Oviedo, en la que además ha desempeñado sucesivamente las funciones de Profesor Titular, Secretario General, Vicerrector, Secretario del Consejo Social y, desde 2021, Rector Magnífico</w:t>
      </w:r>
      <w:r w:rsidR="00085466">
        <w:rPr>
          <w:rFonts w:ascii="Times New Roman" w:hAnsi="Times New Roman" w:cs="Times New Roman"/>
          <w:sz w:val="24"/>
          <w:szCs w:val="24"/>
        </w:rPr>
        <w:t>, recientemente reelegido para un amplio mandato de seis años</w:t>
      </w:r>
      <w:r w:rsidR="00EF1345">
        <w:rPr>
          <w:rFonts w:ascii="Times New Roman" w:hAnsi="Times New Roman" w:cs="Times New Roman"/>
          <w:sz w:val="24"/>
          <w:szCs w:val="24"/>
        </w:rPr>
        <w:t>.</w:t>
      </w:r>
    </w:p>
    <w:p w:rsidR="00EF1345" w:rsidRPr="00A971DD" w:rsidRDefault="00EF1345" w:rsidP="005E0D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Por si todo ello fuera poco, fue Letrado del Tribunal Constitucional entre 1998 y 2001 y Director del Servicio Jurídico del Ayuntamiento de Gijón</w:t>
      </w:r>
      <w:r w:rsidR="00F96B86">
        <w:rPr>
          <w:rFonts w:ascii="Times New Roman" w:hAnsi="Times New Roman" w:cs="Times New Roman"/>
          <w:sz w:val="24"/>
          <w:szCs w:val="24"/>
        </w:rPr>
        <w:t xml:space="preserve"> (2009-2011).</w:t>
      </w:r>
    </w:p>
    <w:p w:rsidR="008738A4" w:rsidRDefault="008D28C7" w:rsidP="00873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Estos son, pues, sus poderes</w:t>
      </w:r>
      <w:r w:rsidR="00307C62">
        <w:rPr>
          <w:rFonts w:ascii="Times New Roman" w:hAnsi="Times New Roman" w:cs="Times New Roman"/>
          <w:sz w:val="24"/>
          <w:szCs w:val="24"/>
        </w:rPr>
        <w:t>, por parafrasear al Cardenal Cisneros</w:t>
      </w:r>
      <w:r>
        <w:rPr>
          <w:rFonts w:ascii="Times New Roman" w:hAnsi="Times New Roman" w:cs="Times New Roman"/>
          <w:sz w:val="24"/>
          <w:szCs w:val="24"/>
        </w:rPr>
        <w:t>. Y sobre poderes ha versado esencialmente su disertación, ya que la tensión –probablemente inevitable y tal vez insoluble--  entre Democracia y Derecho</w:t>
      </w:r>
      <w:r w:rsidR="00307C62">
        <w:rPr>
          <w:rFonts w:ascii="Times New Roman" w:hAnsi="Times New Roman" w:cs="Times New Roman"/>
          <w:sz w:val="24"/>
          <w:szCs w:val="24"/>
        </w:rPr>
        <w:t xml:space="preserve"> se traduce en la frecuentemente conflictiva relación entre el Poder Legislativo y el Poder Judicial, y, aunque en nuestro país no pertenezca a él, entre el legislador de directa elección popular y el Tribunal Constitucional.</w:t>
      </w:r>
      <w:r w:rsidR="00052D59">
        <w:rPr>
          <w:rFonts w:ascii="Times New Roman" w:hAnsi="Times New Roman" w:cs="Times New Roman"/>
          <w:sz w:val="24"/>
          <w:szCs w:val="24"/>
        </w:rPr>
        <w:t xml:space="preserve"> Como ha escrito un autor citado por Villaverde, Bernd Rüthers</w:t>
      </w:r>
      <w:r w:rsidR="009344C7">
        <w:rPr>
          <w:rFonts w:ascii="Times New Roman" w:hAnsi="Times New Roman" w:cs="Times New Roman"/>
          <w:sz w:val="24"/>
          <w:szCs w:val="24"/>
        </w:rPr>
        <w:t xml:space="preserve"> (</w:t>
      </w:r>
      <w:r w:rsidR="009344C7">
        <w:rPr>
          <w:rFonts w:ascii="Times New Roman" w:hAnsi="Times New Roman" w:cs="Times New Roman"/>
          <w:i/>
          <w:sz w:val="24"/>
          <w:szCs w:val="24"/>
        </w:rPr>
        <w:t>La revolución secreta. Del Estado de derecho al Estado judicial. Un ensayo sobre Constitución y método</w:t>
      </w:r>
      <w:r w:rsidR="00CF5295">
        <w:rPr>
          <w:rFonts w:ascii="Times New Roman" w:hAnsi="Times New Roman" w:cs="Times New Roman"/>
          <w:b/>
          <w:i/>
          <w:sz w:val="24"/>
          <w:szCs w:val="24"/>
        </w:rPr>
        <w:t>,</w:t>
      </w:r>
      <w:r w:rsidR="009344C7">
        <w:rPr>
          <w:rFonts w:ascii="Times New Roman" w:hAnsi="Times New Roman" w:cs="Times New Roman"/>
          <w:sz w:val="24"/>
          <w:szCs w:val="24"/>
        </w:rPr>
        <w:t xml:space="preserve"> 2020)</w:t>
      </w:r>
      <w:r w:rsidR="00052D59">
        <w:rPr>
          <w:rFonts w:ascii="Times New Roman" w:hAnsi="Times New Roman" w:cs="Times New Roman"/>
          <w:sz w:val="24"/>
          <w:szCs w:val="24"/>
        </w:rPr>
        <w:t>, expresando las preocupaciones que aquí se han expuesto, los límites determinantes del derecho judicial</w:t>
      </w:r>
      <w:r w:rsidR="00237670">
        <w:rPr>
          <w:rFonts w:ascii="Times New Roman" w:hAnsi="Times New Roman" w:cs="Times New Roman"/>
          <w:sz w:val="24"/>
          <w:szCs w:val="24"/>
        </w:rPr>
        <w:t xml:space="preserve"> son el principio democrático, como prioridad de la legislación, y la división de poderes, propia del Estado de Derecho. En el caso alemán, “la transformación  de la sociedad y del ordenamiento jurídico</w:t>
      </w:r>
      <w:r w:rsidR="003C7056">
        <w:rPr>
          <w:rFonts w:ascii="Times New Roman" w:hAnsi="Times New Roman" w:cs="Times New Roman"/>
          <w:sz w:val="24"/>
          <w:szCs w:val="24"/>
        </w:rPr>
        <w:t>, o incluso de la Constitución, es tarea de los órganos legislativos legitimados democráticamente</w:t>
      </w:r>
      <w:r w:rsidR="00165292">
        <w:rPr>
          <w:rFonts w:ascii="Times New Roman" w:hAnsi="Times New Roman" w:cs="Times New Roman"/>
          <w:sz w:val="24"/>
          <w:szCs w:val="24"/>
        </w:rPr>
        <w:t>…</w:t>
      </w:r>
      <w:r w:rsidR="003C7056">
        <w:rPr>
          <w:rFonts w:ascii="Times New Roman" w:hAnsi="Times New Roman" w:cs="Times New Roman"/>
          <w:sz w:val="24"/>
          <w:szCs w:val="24"/>
        </w:rPr>
        <w:t xml:space="preserve">, </w:t>
      </w:r>
      <w:r w:rsidR="00165292">
        <w:rPr>
          <w:rFonts w:ascii="Times New Roman" w:hAnsi="Times New Roman" w:cs="Times New Roman"/>
          <w:sz w:val="24"/>
          <w:szCs w:val="24"/>
        </w:rPr>
        <w:t xml:space="preserve"> </w:t>
      </w:r>
      <w:r w:rsidR="003C7056">
        <w:rPr>
          <w:rFonts w:ascii="Times New Roman" w:hAnsi="Times New Roman" w:cs="Times New Roman"/>
          <w:sz w:val="24"/>
          <w:szCs w:val="24"/>
        </w:rPr>
        <w:t>no de los tribunales</w:t>
      </w:r>
      <w:r w:rsidR="00165292">
        <w:rPr>
          <w:rFonts w:ascii="Times New Roman" w:hAnsi="Times New Roman" w:cs="Times New Roman"/>
          <w:sz w:val="24"/>
          <w:szCs w:val="24"/>
        </w:rPr>
        <w:t xml:space="preserve"> [ordinarios]</w:t>
      </w:r>
      <w:r w:rsidR="003C7056">
        <w:rPr>
          <w:rFonts w:ascii="Times New Roman" w:hAnsi="Times New Roman" w:cs="Times New Roman"/>
          <w:sz w:val="24"/>
          <w:szCs w:val="24"/>
        </w:rPr>
        <w:t xml:space="preserve"> ni del Tribunal Constitucional Federal”.</w:t>
      </w:r>
    </w:p>
    <w:p w:rsidR="001B4E0F" w:rsidRDefault="00052D59" w:rsidP="001B4E0F">
      <w:pPr>
        <w:spacing w:line="360" w:lineRule="auto"/>
        <w:jc w:val="both"/>
        <w:rPr>
          <w:rFonts w:ascii="Times New Roman" w:hAnsi="Times New Roman"/>
          <w:b/>
          <w:sz w:val="24"/>
          <w:szCs w:val="24"/>
        </w:rPr>
      </w:pPr>
      <w:r>
        <w:rPr>
          <w:rFonts w:ascii="Times New Roman" w:hAnsi="Times New Roman" w:cs="Times New Roman"/>
          <w:sz w:val="24"/>
          <w:szCs w:val="24"/>
        </w:rPr>
        <w:t xml:space="preserve">     ¿Qué es lo que realmente sucede</w:t>
      </w:r>
      <w:r w:rsidR="001B4E0F">
        <w:rPr>
          <w:rFonts w:ascii="Times New Roman" w:hAnsi="Times New Roman" w:cs="Times New Roman"/>
          <w:sz w:val="24"/>
          <w:szCs w:val="24"/>
        </w:rPr>
        <w:t xml:space="preserve"> en nuestro país</w:t>
      </w:r>
      <w:r>
        <w:rPr>
          <w:rFonts w:ascii="Times New Roman" w:hAnsi="Times New Roman" w:cs="Times New Roman"/>
          <w:sz w:val="24"/>
          <w:szCs w:val="24"/>
        </w:rPr>
        <w:t>?</w:t>
      </w:r>
      <w:r w:rsidR="001B4E0F" w:rsidRPr="001B4E0F">
        <w:rPr>
          <w:rFonts w:ascii="Times New Roman" w:hAnsi="Times New Roman"/>
          <w:b/>
          <w:sz w:val="24"/>
          <w:szCs w:val="24"/>
        </w:rPr>
        <w:t xml:space="preserve"> </w:t>
      </w:r>
      <w:r w:rsidR="001B4E0F">
        <w:rPr>
          <w:rFonts w:ascii="Times New Roman" w:hAnsi="Times New Roman"/>
          <w:b/>
          <w:sz w:val="24"/>
          <w:szCs w:val="24"/>
        </w:rPr>
        <w:t xml:space="preserve"> </w:t>
      </w:r>
    </w:p>
    <w:p w:rsidR="001B4E0F" w:rsidRDefault="001B4E0F" w:rsidP="001B4E0F">
      <w:pPr>
        <w:spacing w:line="360" w:lineRule="auto"/>
        <w:jc w:val="both"/>
        <w:rPr>
          <w:rFonts w:ascii="Times New Roman" w:eastAsia="Times New Roman" w:hAnsi="Times New Roman" w:cs="Times New Roman"/>
          <w:sz w:val="24"/>
          <w:szCs w:val="24"/>
          <w:lang w:eastAsia="es-ES"/>
        </w:rPr>
      </w:pPr>
      <w:r w:rsidRPr="006E5FC3">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 xml:space="preserve">   </w:t>
      </w:r>
      <w:r w:rsidRPr="006E5FC3">
        <w:rPr>
          <w:rFonts w:ascii="Times New Roman" w:eastAsia="Times New Roman" w:hAnsi="Times New Roman" w:cs="Times New Roman"/>
          <w:sz w:val="24"/>
          <w:szCs w:val="24"/>
          <w:lang w:eastAsia="es-ES"/>
        </w:rPr>
        <w:t xml:space="preserve">La potestad legislativa de las Cortes Generales y de las Asambleas de las Comunidades Autónomas se traduce, según el Preámbulo constitucional, en normas expresivas de la voluntad popular. Dada, no obstante, la sujeción a la Constitución del propio poder </w:t>
      </w:r>
      <w:r w:rsidRPr="006E5FC3">
        <w:rPr>
          <w:rFonts w:ascii="Times New Roman" w:eastAsia="Times New Roman" w:hAnsi="Times New Roman" w:cs="Times New Roman"/>
          <w:sz w:val="24"/>
          <w:szCs w:val="24"/>
          <w:lang w:eastAsia="es-ES"/>
        </w:rPr>
        <w:lastRenderedPageBreak/>
        <w:t xml:space="preserve">legislativo  (art. 9.1 CE), las leyes formales aprobadas por los representantes del pueblo cabe que sean objeto de una declaración de inconstitucionalidad y consiguiente nulidad por parte del Tribunal Constitucional  (arts. 161.1 a], 163 y 164 CE y 39.1 LOTC). Esta facultad anulatoria del Alto Tribunal es, a pesar de su alcance  --por lo demás diverso, a tenor del art. 40.1 LOTC--, de carácter nomofiláctico, no nomotético, puesto que, aunque altera el ordenamiento, no introduce en él el </w:t>
      </w:r>
      <w:r w:rsidRPr="006E5FC3">
        <w:rPr>
          <w:rFonts w:ascii="Times New Roman" w:eastAsia="Times New Roman" w:hAnsi="Times New Roman" w:cs="Times New Roman"/>
          <w:i/>
          <w:sz w:val="24"/>
          <w:szCs w:val="24"/>
          <w:lang w:eastAsia="es-ES"/>
        </w:rPr>
        <w:t>novum</w:t>
      </w:r>
      <w:r w:rsidRPr="006E5FC3">
        <w:rPr>
          <w:rFonts w:ascii="Times New Roman" w:eastAsia="Times New Roman" w:hAnsi="Times New Roman" w:cs="Times New Roman"/>
          <w:sz w:val="24"/>
          <w:szCs w:val="24"/>
          <w:lang w:eastAsia="es-ES"/>
        </w:rPr>
        <w:t xml:space="preserve"> político, de selección de opciones, propio de la función legislativa. En consecuencia, encaja sin problemas en el Estado democrático de Derecho, forma estatal en la que el Parlamento, lejos de ser el órgano representativo de un </w:t>
      </w:r>
      <w:r w:rsidRPr="006E5FC3">
        <w:rPr>
          <w:rFonts w:ascii="Times New Roman" w:eastAsia="Times New Roman" w:hAnsi="Times New Roman" w:cs="Times New Roman"/>
          <w:i/>
          <w:sz w:val="24"/>
          <w:szCs w:val="24"/>
          <w:lang w:eastAsia="es-ES"/>
        </w:rPr>
        <w:t>demos</w:t>
      </w:r>
      <w:r w:rsidRPr="006E5FC3">
        <w:rPr>
          <w:rFonts w:ascii="Times New Roman" w:eastAsia="Times New Roman" w:hAnsi="Times New Roman" w:cs="Times New Roman"/>
          <w:sz w:val="24"/>
          <w:szCs w:val="24"/>
          <w:lang w:eastAsia="es-ES"/>
        </w:rPr>
        <w:t xml:space="preserve"> unánime, constituye la expresión máxima del principio pluralista que distingue a nuestra democracia y, por tanto, se halla limitado por la exigencia constitucional de respeto a las minorías, exigencia establecida tanto en las disposiciones orgánico-procedimentales como sustantivas de la Ley Fundamental.</w:t>
      </w:r>
    </w:p>
    <w:p w:rsidR="00052D59" w:rsidRDefault="001B4E0F" w:rsidP="00F05269">
      <w:pPr>
        <w:spacing w:line="360" w:lineRule="auto"/>
        <w:jc w:val="both"/>
        <w:rPr>
          <w:rFonts w:ascii="Times New Roman" w:hAnsi="Times New Roman" w:cs="Times New Roman"/>
          <w:sz w:val="24"/>
          <w:szCs w:val="24"/>
        </w:rPr>
      </w:pPr>
      <w:r>
        <w:rPr>
          <w:rFonts w:ascii="Times New Roman" w:hAnsi="Times New Roman"/>
          <w:sz w:val="24"/>
          <w:szCs w:val="24"/>
        </w:rPr>
        <w:t xml:space="preserve"> </w:t>
      </w:r>
      <w:r w:rsidR="00AD0157">
        <w:rPr>
          <w:rFonts w:ascii="Times New Roman" w:hAnsi="Times New Roman"/>
          <w:sz w:val="24"/>
          <w:szCs w:val="24"/>
        </w:rPr>
        <w:t xml:space="preserve">   </w:t>
      </w:r>
      <w:r>
        <w:rPr>
          <w:rFonts w:ascii="Times New Roman" w:hAnsi="Times New Roman"/>
          <w:sz w:val="24"/>
          <w:szCs w:val="24"/>
        </w:rPr>
        <w:t>En todo caso, s</w:t>
      </w:r>
      <w:r w:rsidRPr="00DC1ED9">
        <w:rPr>
          <w:rFonts w:ascii="Times New Roman" w:hAnsi="Times New Roman"/>
          <w:sz w:val="24"/>
          <w:szCs w:val="24"/>
        </w:rPr>
        <w:t xml:space="preserve">i disponemos de una Constitución cuya reforma puede realizarse en su totalidad, </w:t>
      </w:r>
      <w:r>
        <w:rPr>
          <w:rFonts w:ascii="Times New Roman" w:hAnsi="Times New Roman"/>
          <w:sz w:val="24"/>
          <w:szCs w:val="24"/>
        </w:rPr>
        <w:t xml:space="preserve">sin límite material de ninguna clase, </w:t>
      </w:r>
      <w:r w:rsidRPr="00DC1ED9">
        <w:rPr>
          <w:rFonts w:ascii="Times New Roman" w:hAnsi="Times New Roman"/>
          <w:sz w:val="24"/>
          <w:szCs w:val="24"/>
        </w:rPr>
        <w:t xml:space="preserve">parece evidente que la interpretación de esa Constitución que debe realizar el Tribunal Constitucional  ha de distinguirse por la sobriedad y el respeto absoluto al </w:t>
      </w:r>
      <w:r w:rsidRPr="00B65AB1">
        <w:rPr>
          <w:rFonts w:ascii="Times New Roman" w:eastAsia="Calibri" w:hAnsi="Times New Roman" w:cs="Times New Roman"/>
          <w:sz w:val="24"/>
          <w:szCs w:val="24"/>
        </w:rPr>
        <w:t xml:space="preserve"> poder constituyente constituido.  El Tribunal Constitucional, por tanto, jamás debería actuar como un </w:t>
      </w:r>
      <w:r w:rsidRPr="00B65AB1">
        <w:rPr>
          <w:rFonts w:ascii="Times New Roman" w:eastAsia="Calibri" w:hAnsi="Times New Roman" w:cs="Times New Roman"/>
          <w:i/>
          <w:sz w:val="24"/>
          <w:szCs w:val="24"/>
        </w:rPr>
        <w:t>poder constituido constituyente</w:t>
      </w:r>
      <w:r w:rsidRPr="00B65AB1">
        <w:rPr>
          <w:rFonts w:ascii="Times New Roman" w:eastAsia="Calibri" w:hAnsi="Times New Roman" w:cs="Times New Roman"/>
          <w:sz w:val="24"/>
          <w:szCs w:val="24"/>
        </w:rPr>
        <w:t>, lo que entrañaría una usurpación. Consiguientemente, la afirmación doctrinal de que la</w:t>
      </w:r>
      <w:r w:rsidR="00AD0157" w:rsidRPr="00AD0157">
        <w:rPr>
          <w:rFonts w:ascii="Times New Roman" w:eastAsia="Calibri" w:hAnsi="Times New Roman" w:cs="Times New Roman"/>
          <w:sz w:val="24"/>
          <w:szCs w:val="24"/>
        </w:rPr>
        <w:t xml:space="preserve"> Constitución es lo que en cada momento determina el Tribunal Constitucional,  debe considerarse correcta únicamente en sentido descriptivo, para resaltar la jerarquía hermenéutica del Alto Tribunal.  La jurisprudencia  constitucional, bien es cierto,  tiene carácter evolutivo</w:t>
      </w:r>
      <w:r w:rsidR="00AD0157">
        <w:rPr>
          <w:rFonts w:ascii="Times New Roman" w:eastAsia="Calibri" w:hAnsi="Times New Roman" w:cs="Times New Roman"/>
          <w:sz w:val="24"/>
          <w:szCs w:val="24"/>
        </w:rPr>
        <w:t xml:space="preserve"> (STC 31/2010, FJ 58 y 77)</w:t>
      </w:r>
      <w:r w:rsidR="00AD0157" w:rsidRPr="00AD0157">
        <w:rPr>
          <w:rFonts w:ascii="Times New Roman" w:eastAsia="Calibri" w:hAnsi="Times New Roman" w:cs="Times New Roman"/>
          <w:sz w:val="24"/>
          <w:szCs w:val="24"/>
        </w:rPr>
        <w:t>, pero ese carácter nunca puede implicar el ejercicio de funciones nomotéticas que amplíen, en sustitución del poder de reforma, el contenido de las normas constitucionales.</w:t>
      </w:r>
      <w:r w:rsidR="00AD0157">
        <w:rPr>
          <w:rFonts w:ascii="Times New Roman" w:eastAsia="Calibri" w:hAnsi="Times New Roman" w:cs="Times New Roman"/>
          <w:sz w:val="24"/>
          <w:szCs w:val="24"/>
        </w:rPr>
        <w:t xml:space="preserve"> Tal vez esto sea, sin embargo, como bien observa Villaverde</w:t>
      </w:r>
      <w:r w:rsidR="003A0F1E">
        <w:rPr>
          <w:rFonts w:ascii="Times New Roman" w:eastAsia="Calibri" w:hAnsi="Times New Roman" w:cs="Times New Roman"/>
          <w:sz w:val="24"/>
          <w:szCs w:val="24"/>
        </w:rPr>
        <w:t>,</w:t>
      </w:r>
      <w:r w:rsidR="00AD0157">
        <w:rPr>
          <w:rFonts w:ascii="Times New Roman" w:eastAsia="Calibri" w:hAnsi="Times New Roman" w:cs="Times New Roman"/>
          <w:sz w:val="24"/>
          <w:szCs w:val="24"/>
        </w:rPr>
        <w:t xml:space="preserve"> </w:t>
      </w:r>
      <w:r w:rsidR="003A0F1E">
        <w:rPr>
          <w:rFonts w:ascii="Times New Roman" w:eastAsia="Calibri" w:hAnsi="Times New Roman" w:cs="Times New Roman"/>
          <w:sz w:val="24"/>
          <w:szCs w:val="24"/>
        </w:rPr>
        <w:t xml:space="preserve">lo que haya ocurrido </w:t>
      </w:r>
      <w:r w:rsidR="00AD0157">
        <w:rPr>
          <w:rFonts w:ascii="Times New Roman" w:eastAsia="Calibri" w:hAnsi="Times New Roman" w:cs="Times New Roman"/>
          <w:sz w:val="24"/>
          <w:szCs w:val="24"/>
        </w:rPr>
        <w:t>en la exégesis del artículo 32.1 CE</w:t>
      </w:r>
      <w:r w:rsidR="003A0F1E">
        <w:rPr>
          <w:rFonts w:ascii="Times New Roman" w:eastAsia="Calibri" w:hAnsi="Times New Roman" w:cs="Times New Roman"/>
          <w:sz w:val="24"/>
          <w:szCs w:val="24"/>
        </w:rPr>
        <w:t xml:space="preserve"> llevada a cabo en </w:t>
      </w:r>
      <w:r w:rsidR="00AD0157">
        <w:rPr>
          <w:rFonts w:ascii="Times New Roman" w:eastAsia="Calibri" w:hAnsi="Times New Roman" w:cs="Times New Roman"/>
          <w:sz w:val="24"/>
          <w:szCs w:val="24"/>
        </w:rPr>
        <w:t xml:space="preserve"> </w:t>
      </w:r>
      <w:r w:rsidR="00AD0157" w:rsidRPr="00AD0157">
        <w:rPr>
          <w:rFonts w:ascii="Times New Roman" w:eastAsia="Calibri" w:hAnsi="Times New Roman" w:cs="Times New Roman"/>
          <w:sz w:val="24"/>
          <w:szCs w:val="24"/>
        </w:rPr>
        <w:t>la STC 198/2012</w:t>
      </w:r>
      <w:r w:rsidR="003A0F1E">
        <w:rPr>
          <w:rFonts w:ascii="Times New Roman" w:eastAsia="Calibri" w:hAnsi="Times New Roman" w:cs="Times New Roman"/>
          <w:sz w:val="24"/>
          <w:szCs w:val="24"/>
        </w:rPr>
        <w:t xml:space="preserve"> </w:t>
      </w:r>
      <w:r w:rsidR="00AD0157" w:rsidRPr="00AD0157">
        <w:rPr>
          <w:rFonts w:ascii="Times New Roman" w:eastAsia="Calibri" w:hAnsi="Times New Roman" w:cs="Times New Roman"/>
          <w:sz w:val="24"/>
          <w:szCs w:val="24"/>
        </w:rPr>
        <w:t>para hacer compatible con él la introducción por el legislador ordinario del matrimonio entre personas del mismo sexo</w:t>
      </w:r>
      <w:r w:rsidR="003A0F1E">
        <w:rPr>
          <w:rFonts w:ascii="Times New Roman" w:eastAsia="Calibri" w:hAnsi="Times New Roman" w:cs="Times New Roman"/>
          <w:sz w:val="24"/>
          <w:szCs w:val="24"/>
        </w:rPr>
        <w:t>.</w:t>
      </w:r>
      <w:r w:rsidR="00F05269">
        <w:rPr>
          <w:rFonts w:ascii="Times New Roman" w:eastAsia="Calibri" w:hAnsi="Times New Roman" w:cs="Times New Roman"/>
          <w:sz w:val="24"/>
          <w:szCs w:val="24"/>
        </w:rPr>
        <w:t xml:space="preserve"> Aquí se ofrece, según Ignacio Villaverde, “una acabada imagen de constitucionalismo líquido”, o</w:t>
      </w:r>
      <w:r w:rsidR="009539EF">
        <w:rPr>
          <w:rFonts w:ascii="Times New Roman" w:eastAsia="Calibri" w:hAnsi="Times New Roman" w:cs="Times New Roman"/>
          <w:sz w:val="24"/>
          <w:szCs w:val="24"/>
        </w:rPr>
        <w:t>,</w:t>
      </w:r>
      <w:r w:rsidR="00F05269">
        <w:rPr>
          <w:rFonts w:ascii="Times New Roman" w:eastAsia="Calibri" w:hAnsi="Times New Roman" w:cs="Times New Roman"/>
          <w:sz w:val="24"/>
          <w:szCs w:val="24"/>
        </w:rPr>
        <w:t xml:space="preserve"> dicho en otros términos</w:t>
      </w:r>
      <w:r w:rsidR="009539EF">
        <w:rPr>
          <w:rFonts w:ascii="Times New Roman" w:eastAsia="Calibri" w:hAnsi="Times New Roman" w:cs="Times New Roman"/>
          <w:sz w:val="24"/>
          <w:szCs w:val="24"/>
        </w:rPr>
        <w:t>,</w:t>
      </w:r>
      <w:r w:rsidR="00F05269">
        <w:rPr>
          <w:rFonts w:ascii="Times New Roman" w:eastAsia="Calibri" w:hAnsi="Times New Roman" w:cs="Times New Roman"/>
          <w:sz w:val="24"/>
          <w:szCs w:val="24"/>
        </w:rPr>
        <w:t xml:space="preserve"> una invasión del ámbito normativo reservado al poder constituyente</w:t>
      </w:r>
      <w:r w:rsidR="00F05269" w:rsidRPr="00C71136">
        <w:rPr>
          <w:rFonts w:ascii="Calibri" w:hAnsi="Calibri" w:cs="Calibri"/>
        </w:rPr>
        <w:t>.</w:t>
      </w:r>
      <w:r w:rsidR="004B3B87">
        <w:rPr>
          <w:rFonts w:ascii="Calibri" w:hAnsi="Calibri" w:cs="Calibri"/>
        </w:rPr>
        <w:t xml:space="preserve"> </w:t>
      </w:r>
      <w:r w:rsidR="004B3B87" w:rsidRPr="004B3B87">
        <w:rPr>
          <w:rFonts w:ascii="Times New Roman" w:hAnsi="Times New Roman" w:cs="Times New Roman"/>
          <w:sz w:val="24"/>
          <w:szCs w:val="24"/>
        </w:rPr>
        <w:t>Lo curioso</w:t>
      </w:r>
      <w:r w:rsidR="004B3B87">
        <w:rPr>
          <w:rFonts w:ascii="Times New Roman" w:hAnsi="Times New Roman" w:cs="Times New Roman"/>
          <w:sz w:val="24"/>
          <w:szCs w:val="24"/>
        </w:rPr>
        <w:t xml:space="preserve"> es que algo parecido sucedió</w:t>
      </w:r>
      <w:r w:rsidR="006E1959">
        <w:rPr>
          <w:rFonts w:ascii="Times New Roman" w:hAnsi="Times New Roman" w:cs="Times New Roman"/>
          <w:sz w:val="24"/>
          <w:szCs w:val="24"/>
        </w:rPr>
        <w:t xml:space="preserve"> poco después</w:t>
      </w:r>
      <w:r w:rsidR="004B3B87">
        <w:rPr>
          <w:rFonts w:ascii="Times New Roman" w:hAnsi="Times New Roman" w:cs="Times New Roman"/>
          <w:sz w:val="24"/>
          <w:szCs w:val="24"/>
        </w:rPr>
        <w:t xml:space="preserve"> en la Sentencia del Tribunal de Karlsruhe (Sala 2ª) de 7 de mayo de 2013 a propósito de la equiparación tributaria entre uniones de hecho de parejas homosexuales con las parejas </w:t>
      </w:r>
      <w:r w:rsidR="009539EF">
        <w:rPr>
          <w:rFonts w:ascii="Times New Roman" w:hAnsi="Times New Roman" w:cs="Times New Roman"/>
          <w:sz w:val="24"/>
          <w:szCs w:val="24"/>
        </w:rPr>
        <w:t xml:space="preserve">heterosexuales </w:t>
      </w:r>
      <w:r w:rsidR="004B3B87">
        <w:rPr>
          <w:rFonts w:ascii="Times New Roman" w:hAnsi="Times New Roman" w:cs="Times New Roman"/>
          <w:sz w:val="24"/>
          <w:szCs w:val="24"/>
        </w:rPr>
        <w:t>casadas. Rüthers habla aquí de “un ambiente de lucha cultural” (</w:t>
      </w:r>
      <w:r w:rsidR="004B3B87">
        <w:rPr>
          <w:rFonts w:ascii="Times New Roman" w:hAnsi="Times New Roman" w:cs="Times New Roman"/>
          <w:i/>
          <w:sz w:val="24"/>
          <w:szCs w:val="24"/>
        </w:rPr>
        <w:t>Kulturkampf)</w:t>
      </w:r>
      <w:r w:rsidR="006E1959">
        <w:rPr>
          <w:rFonts w:ascii="Times New Roman" w:hAnsi="Times New Roman" w:cs="Times New Roman"/>
          <w:i/>
          <w:sz w:val="24"/>
          <w:szCs w:val="24"/>
        </w:rPr>
        <w:t xml:space="preserve">, </w:t>
      </w:r>
      <w:r w:rsidR="006E1959">
        <w:rPr>
          <w:rFonts w:ascii="Times New Roman" w:hAnsi="Times New Roman" w:cs="Times New Roman"/>
          <w:sz w:val="24"/>
          <w:szCs w:val="24"/>
        </w:rPr>
        <w:t xml:space="preserve">y eso mismo podríamos decir </w:t>
      </w:r>
      <w:r w:rsidR="006E1959">
        <w:rPr>
          <w:rFonts w:ascii="Times New Roman" w:hAnsi="Times New Roman" w:cs="Times New Roman"/>
          <w:sz w:val="24"/>
          <w:szCs w:val="24"/>
        </w:rPr>
        <w:lastRenderedPageBreak/>
        <w:t>nosotros</w:t>
      </w:r>
      <w:r w:rsidR="00C74B9A">
        <w:rPr>
          <w:rFonts w:ascii="Times New Roman" w:hAnsi="Times New Roman" w:cs="Times New Roman"/>
          <w:sz w:val="24"/>
          <w:szCs w:val="24"/>
        </w:rPr>
        <w:t xml:space="preserve"> con respecto a España</w:t>
      </w:r>
      <w:r w:rsidR="00F042FD">
        <w:rPr>
          <w:rFonts w:ascii="Times New Roman" w:hAnsi="Times New Roman" w:cs="Times New Roman"/>
          <w:sz w:val="24"/>
          <w:szCs w:val="24"/>
        </w:rPr>
        <w:t xml:space="preserve">,  donde, en mi modesta opinión, también se ha desconocido la garantía institucional del matrimonio, cuyos perfiles constitucionales quedaron desfigurados por el legislador. </w:t>
      </w:r>
      <w:r w:rsidR="004B3B87">
        <w:rPr>
          <w:rFonts w:ascii="Times New Roman" w:hAnsi="Times New Roman" w:cs="Times New Roman"/>
          <w:sz w:val="24"/>
          <w:szCs w:val="24"/>
        </w:rPr>
        <w:t xml:space="preserve"> </w:t>
      </w:r>
    </w:p>
    <w:p w:rsidR="00535D84" w:rsidRDefault="00535D84" w:rsidP="00535D84">
      <w:pPr>
        <w:spacing w:line="360" w:lineRule="auto"/>
        <w:jc w:val="both"/>
        <w:rPr>
          <w:rFonts w:ascii="Times New Roman" w:eastAsia="Times New Roman" w:hAnsi="Times New Roman" w:cs="Times New Roman"/>
          <w:sz w:val="24"/>
          <w:szCs w:val="24"/>
          <w:lang w:eastAsia="es-ES"/>
        </w:rPr>
      </w:pPr>
      <w:r>
        <w:rPr>
          <w:rFonts w:ascii="Times New Roman" w:hAnsi="Times New Roman" w:cs="Times New Roman"/>
          <w:sz w:val="24"/>
          <w:szCs w:val="24"/>
        </w:rPr>
        <w:t xml:space="preserve">   </w:t>
      </w:r>
      <w:r w:rsidRPr="00535D84">
        <w:rPr>
          <w:rFonts w:ascii="Times New Roman" w:eastAsia="Times New Roman" w:hAnsi="Times New Roman" w:cs="Times New Roman"/>
          <w:sz w:val="24"/>
          <w:szCs w:val="24"/>
          <w:lang w:eastAsia="es-ES"/>
        </w:rPr>
        <w:t xml:space="preserve">   Especial inquietud suscita la práctica de las denominadas</w:t>
      </w:r>
      <w:r w:rsidRPr="00535D84">
        <w:rPr>
          <w:rFonts w:ascii="Times New Roman" w:eastAsia="Times New Roman" w:hAnsi="Times New Roman" w:cs="Times New Roman"/>
          <w:i/>
          <w:sz w:val="24"/>
          <w:szCs w:val="24"/>
          <w:lang w:eastAsia="es-ES"/>
        </w:rPr>
        <w:t xml:space="preserve"> sentencias interpretativas de rechazo</w:t>
      </w:r>
      <w:r w:rsidRPr="00535D84">
        <w:rPr>
          <w:rFonts w:ascii="Times New Roman" w:eastAsia="Times New Roman" w:hAnsi="Times New Roman" w:cs="Times New Roman"/>
          <w:sz w:val="24"/>
          <w:szCs w:val="24"/>
          <w:lang w:eastAsia="es-ES"/>
        </w:rPr>
        <w:t xml:space="preserve">, en las que el Tribunal Constitucional impone una única inteligencia de los preceptos legales. Estas decisiones pueden considerarse como manifestación de una función nomotética ejercida por un órgano ajeno al Parlamento, función de un </w:t>
      </w:r>
      <w:r w:rsidRPr="00535D84">
        <w:rPr>
          <w:rFonts w:ascii="Times New Roman" w:eastAsia="Times New Roman" w:hAnsi="Times New Roman" w:cs="Times New Roman"/>
          <w:i/>
          <w:sz w:val="24"/>
          <w:szCs w:val="24"/>
          <w:lang w:eastAsia="es-ES"/>
        </w:rPr>
        <w:t>legislador positivo</w:t>
      </w:r>
      <w:r w:rsidRPr="00535D84">
        <w:rPr>
          <w:rFonts w:ascii="Times New Roman" w:eastAsia="Times New Roman" w:hAnsi="Times New Roman" w:cs="Times New Roman"/>
          <w:sz w:val="24"/>
          <w:szCs w:val="24"/>
          <w:lang w:eastAsia="es-ES"/>
        </w:rPr>
        <w:t xml:space="preserve"> que no deja de ser una anomalía en el Estado democrático. El problema no radica sobre todo en los abusos que puede conllevar ocasionalmente el ejercicio de estas prácticas (o sea, la manipulación de los textos legales para hacerlos conformes con la Constitución</w:t>
      </w:r>
      <w:r w:rsidR="002654E2">
        <w:rPr>
          <w:rFonts w:ascii="Times New Roman" w:eastAsia="Times New Roman" w:hAnsi="Times New Roman" w:cs="Times New Roman"/>
          <w:sz w:val="24"/>
          <w:szCs w:val="24"/>
          <w:lang w:eastAsia="es-ES"/>
        </w:rPr>
        <w:t>: así, v.g., en las Sentencias 247/2007 y 101/2008, sobre el nuevo Estatuto Valenciano y sobre el Reglamento del Senado y la designación de Magistrados constitucionales, respectivamente</w:t>
      </w:r>
      <w:r w:rsidRPr="00535D84">
        <w:rPr>
          <w:rFonts w:ascii="Times New Roman" w:eastAsia="Times New Roman" w:hAnsi="Times New Roman" w:cs="Times New Roman"/>
          <w:sz w:val="24"/>
          <w:szCs w:val="24"/>
          <w:lang w:eastAsia="es-ES"/>
        </w:rPr>
        <w:t xml:space="preserve">), sino, como digo, en su compatibilidad con el principio democrático. Ciertamente, la doctrina más acreditada </w:t>
      </w:r>
      <w:r w:rsidR="002654E2">
        <w:rPr>
          <w:rFonts w:ascii="Times New Roman" w:eastAsia="Times New Roman" w:hAnsi="Times New Roman" w:cs="Times New Roman"/>
          <w:sz w:val="24"/>
          <w:szCs w:val="24"/>
          <w:lang w:eastAsia="es-ES"/>
        </w:rPr>
        <w:t xml:space="preserve"> (el propio Ignacio de Otto, mismamente) </w:t>
      </w:r>
      <w:r w:rsidRPr="00535D84">
        <w:rPr>
          <w:rFonts w:ascii="Times New Roman" w:eastAsia="Times New Roman" w:hAnsi="Times New Roman" w:cs="Times New Roman"/>
          <w:sz w:val="24"/>
          <w:szCs w:val="24"/>
          <w:lang w:eastAsia="es-ES"/>
        </w:rPr>
        <w:t xml:space="preserve">justifica con base en tal principio esas prácticas, ya que con ellas se trataría de proteger la obra del legislador </w:t>
      </w:r>
      <w:r w:rsidR="001B3719">
        <w:rPr>
          <w:rFonts w:ascii="Times New Roman" w:eastAsia="Times New Roman" w:hAnsi="Times New Roman" w:cs="Times New Roman"/>
          <w:sz w:val="24"/>
          <w:szCs w:val="24"/>
          <w:lang w:eastAsia="es-ES"/>
        </w:rPr>
        <w:t>democrático</w:t>
      </w:r>
      <w:r w:rsidRPr="00535D84">
        <w:rPr>
          <w:rFonts w:ascii="Times New Roman" w:eastAsia="Times New Roman" w:hAnsi="Times New Roman" w:cs="Times New Roman"/>
          <w:sz w:val="24"/>
          <w:szCs w:val="24"/>
          <w:lang w:eastAsia="es-ES"/>
        </w:rPr>
        <w:t xml:space="preserve"> mediante la no anulación de aquellas leyes que puedan  --y por lo tanto deban-- interpretarse de conformidad con la Constitución. Sin embargo, lo relevante no es, a mi juicio, esa perspectiva, sino esta otra: el Tribunal Constitucional, órgano de naturaleza jurisdiccional, </w:t>
      </w:r>
      <w:r w:rsidRPr="001B3719">
        <w:rPr>
          <w:rFonts w:ascii="Times New Roman" w:eastAsia="Times New Roman" w:hAnsi="Times New Roman" w:cs="Times New Roman"/>
          <w:i/>
          <w:sz w:val="24"/>
          <w:szCs w:val="24"/>
          <w:lang w:eastAsia="es-ES"/>
        </w:rPr>
        <w:t>impone una opción</w:t>
      </w:r>
      <w:r w:rsidRPr="00535D84">
        <w:rPr>
          <w:rFonts w:ascii="Times New Roman" w:eastAsia="Times New Roman" w:hAnsi="Times New Roman" w:cs="Times New Roman"/>
          <w:sz w:val="24"/>
          <w:szCs w:val="24"/>
          <w:lang w:eastAsia="es-ES"/>
        </w:rPr>
        <w:t xml:space="preserve"> </w:t>
      </w:r>
      <w:r w:rsidRPr="001B3719">
        <w:rPr>
          <w:rFonts w:ascii="Times New Roman" w:eastAsia="Times New Roman" w:hAnsi="Times New Roman" w:cs="Times New Roman"/>
          <w:i/>
          <w:sz w:val="24"/>
          <w:szCs w:val="24"/>
          <w:lang w:eastAsia="es-ES"/>
        </w:rPr>
        <w:t>política determinada</w:t>
      </w:r>
      <w:r w:rsidRPr="00535D84">
        <w:rPr>
          <w:rFonts w:ascii="Times New Roman" w:eastAsia="Times New Roman" w:hAnsi="Times New Roman" w:cs="Times New Roman"/>
          <w:sz w:val="24"/>
          <w:szCs w:val="24"/>
          <w:lang w:eastAsia="es-ES"/>
        </w:rPr>
        <w:t xml:space="preserve"> a fin de preservar la integridad de la ley parlamentaria, fruto de la decisión del legislador democrático. Aquello que es lógico por una parte, resulta absurdo e inquietante por otra.</w:t>
      </w:r>
    </w:p>
    <w:p w:rsidR="001B3719" w:rsidRDefault="001B3719" w:rsidP="00D5618F">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s-ES"/>
        </w:rPr>
        <w:t xml:space="preserve">   </w:t>
      </w:r>
      <w:r w:rsidR="00D5618F">
        <w:rPr>
          <w:rFonts w:ascii="Times New Roman" w:hAnsi="Times New Roman" w:cs="Times New Roman"/>
          <w:sz w:val="24"/>
          <w:szCs w:val="24"/>
        </w:rPr>
        <w:t xml:space="preserve"> </w:t>
      </w:r>
      <w:r w:rsidR="00D5618F" w:rsidRPr="000850EA">
        <w:rPr>
          <w:rFonts w:ascii="Times New Roman" w:hAnsi="Times New Roman" w:cs="Times New Roman"/>
          <w:sz w:val="24"/>
          <w:szCs w:val="24"/>
        </w:rPr>
        <w:t xml:space="preserve">Tal vez cabría hacer </w:t>
      </w:r>
      <w:r w:rsidR="00D5618F">
        <w:rPr>
          <w:rFonts w:ascii="Times New Roman" w:hAnsi="Times New Roman" w:cs="Times New Roman"/>
          <w:sz w:val="24"/>
          <w:szCs w:val="24"/>
        </w:rPr>
        <w:t xml:space="preserve">–previa reforma, desde luego, de la Ley Orgánica del Tribunal Constitucional-- </w:t>
      </w:r>
      <w:r w:rsidR="00D5618F" w:rsidRPr="000850EA">
        <w:rPr>
          <w:rFonts w:ascii="Times New Roman" w:hAnsi="Times New Roman" w:cs="Times New Roman"/>
          <w:sz w:val="24"/>
          <w:szCs w:val="24"/>
        </w:rPr>
        <w:t xml:space="preserve">un uso estrictamente nomofiláctico de la técnica de las sentencias interpretativas de rechazo, para lo cual bastaría con efectuar una tarea de mera verificación de la compatibilidad lógica entre el precepto constitucional de que se trate y los distintos significados semánticos posibles de la norma legal enjuiciada. Si uno o varios de tales significados resultasen contrarios a la Constitución, la consecuencia no habría de ser la imposición del que el Tribunal juzgase legítimo, sino el otorgamiento al legislador de la oportunidad de alterar el texto legislativo concreto, que forma parte de un conjunto normativo mayor en el que adquiere su pleno sentido político. </w:t>
      </w:r>
      <w:r w:rsidR="00D5618F" w:rsidRPr="000850EA">
        <w:rPr>
          <w:rFonts w:ascii="Times New Roman" w:hAnsi="Times New Roman" w:cs="Times New Roman"/>
          <w:i/>
          <w:sz w:val="24"/>
          <w:szCs w:val="24"/>
        </w:rPr>
        <w:t>Un sentido</w:t>
      </w:r>
      <w:r w:rsidR="00D5618F">
        <w:rPr>
          <w:rFonts w:ascii="Times New Roman" w:hAnsi="Times New Roman" w:cs="Times New Roman"/>
          <w:i/>
          <w:sz w:val="24"/>
          <w:szCs w:val="24"/>
        </w:rPr>
        <w:t xml:space="preserve"> </w:t>
      </w:r>
      <w:r w:rsidR="00D5618F" w:rsidRPr="000850EA">
        <w:rPr>
          <w:rFonts w:ascii="Times New Roman" w:hAnsi="Times New Roman" w:cs="Times New Roman"/>
          <w:i/>
          <w:sz w:val="24"/>
          <w:szCs w:val="24"/>
        </w:rPr>
        <w:t>que puede verse seriamente perturbado por la imposición hermenéutica del Tribunal Constitucional</w:t>
      </w:r>
      <w:r w:rsidR="00D5618F" w:rsidRPr="000850EA">
        <w:rPr>
          <w:rFonts w:ascii="Times New Roman" w:hAnsi="Times New Roman" w:cs="Times New Roman"/>
          <w:sz w:val="24"/>
          <w:szCs w:val="24"/>
        </w:rPr>
        <w:t>.</w:t>
      </w:r>
    </w:p>
    <w:p w:rsidR="00694E43" w:rsidRDefault="00694E43" w:rsidP="00694E43">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lastRenderedPageBreak/>
        <w:t xml:space="preserve"> </w:t>
      </w:r>
      <w:r w:rsidRPr="00694E43">
        <w:rPr>
          <w:rFonts w:ascii="Times New Roman" w:eastAsia="Calibri" w:hAnsi="Times New Roman" w:cs="Times New Roman"/>
          <w:sz w:val="24"/>
          <w:szCs w:val="24"/>
        </w:rPr>
        <w:t xml:space="preserve">  Pero hay más: las sentencias interpretativas de rechazo, sobre todo cuando se apartan abiertamente del tenor literal de la ley enjuiciada,  no sólo invaden la competencia del poder legislativo, sino que deterioran la posición del poder de reforma constitucional al restringir sus opciones, ya que, de ser formalmente estimatorios los pronunciamientos del Tribunal, tal vez forzarían a dicho poder a plantearse la modificación de la Constitución para dar cabida a una voluntad política suficientemente mayoritaria por responder a amplias corrientes sociales. Tales sentencias generan, pues, un doble efecto patológico. De un lado,  preservan a toda costa la constitucionalidad de la ley mediante la alteración de su enunciado normativo y la </w:t>
      </w:r>
      <w:r w:rsidRPr="00694E43">
        <w:rPr>
          <w:rFonts w:ascii="Times New Roman" w:eastAsia="Calibri" w:hAnsi="Times New Roman" w:cs="Times New Roman"/>
          <w:i/>
          <w:sz w:val="24"/>
          <w:szCs w:val="24"/>
        </w:rPr>
        <w:t>creación de una norma nueva</w:t>
      </w:r>
      <w:r w:rsidRPr="00694E43">
        <w:rPr>
          <w:rFonts w:ascii="Times New Roman" w:eastAsia="Calibri" w:hAnsi="Times New Roman" w:cs="Times New Roman"/>
          <w:sz w:val="24"/>
          <w:szCs w:val="24"/>
        </w:rPr>
        <w:t>, lo que puede traicionar la voluntad  política del legislador, aunque el fallo desestimatorio salve su prestigio. De otro, disminuyen, en el marco de una Constitución abierta, la capacidad de adaptación evolutiva del texto constitucional por obra del poder de reforma, al eliminar artificiosamente las contradicciones entre la norma suprema y la legislación ordinaria.</w:t>
      </w:r>
    </w:p>
    <w:p w:rsidR="003A594F" w:rsidRDefault="003A594F" w:rsidP="00072B25">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Según hemos escuchado al Profesor </w:t>
      </w:r>
      <w:r w:rsidR="00072B25">
        <w:rPr>
          <w:rFonts w:ascii="Times New Roman" w:eastAsia="Calibri" w:hAnsi="Times New Roman" w:cs="Times New Roman"/>
          <w:sz w:val="24"/>
          <w:szCs w:val="24"/>
        </w:rPr>
        <w:t xml:space="preserve">Ignacio </w:t>
      </w:r>
      <w:r>
        <w:rPr>
          <w:rFonts w:ascii="Times New Roman" w:eastAsia="Calibri" w:hAnsi="Times New Roman" w:cs="Times New Roman"/>
          <w:sz w:val="24"/>
          <w:szCs w:val="24"/>
        </w:rPr>
        <w:t>Villaverde, otra forma de licuefacción constitucional puede producirse a través de la</w:t>
      </w:r>
      <w:r w:rsidR="00072B25">
        <w:rPr>
          <w:rFonts w:ascii="Times New Roman" w:eastAsia="Calibri" w:hAnsi="Times New Roman" w:cs="Times New Roman"/>
          <w:sz w:val="24"/>
          <w:szCs w:val="24"/>
        </w:rPr>
        <w:t xml:space="preserve"> “bienintencionada”</w:t>
      </w:r>
      <w:r>
        <w:rPr>
          <w:rFonts w:ascii="Times New Roman" w:eastAsia="Calibri" w:hAnsi="Times New Roman" w:cs="Times New Roman"/>
          <w:sz w:val="24"/>
          <w:szCs w:val="24"/>
        </w:rPr>
        <w:t xml:space="preserve"> técnica hermenéutica denominada </w:t>
      </w:r>
      <w:r>
        <w:rPr>
          <w:rFonts w:ascii="Times New Roman" w:eastAsia="Calibri" w:hAnsi="Times New Roman" w:cs="Times New Roman"/>
          <w:i/>
          <w:sz w:val="24"/>
          <w:szCs w:val="24"/>
        </w:rPr>
        <w:t>diálogo entre Tribunales</w:t>
      </w:r>
      <w:r>
        <w:rPr>
          <w:rFonts w:ascii="Times New Roman" w:eastAsia="Calibri" w:hAnsi="Times New Roman" w:cs="Times New Roman"/>
          <w:sz w:val="24"/>
          <w:szCs w:val="24"/>
        </w:rPr>
        <w:t>, especialmente empleada en la determinación del contenido de los derechos fundamentales, citando</w:t>
      </w:r>
      <w:r w:rsidR="00072B25">
        <w:rPr>
          <w:rFonts w:ascii="Times New Roman" w:eastAsia="Calibri" w:hAnsi="Times New Roman" w:cs="Times New Roman"/>
          <w:sz w:val="24"/>
          <w:szCs w:val="24"/>
        </w:rPr>
        <w:t xml:space="preserve"> Villaverde</w:t>
      </w:r>
      <w:r>
        <w:rPr>
          <w:rFonts w:ascii="Times New Roman" w:eastAsia="Calibri" w:hAnsi="Times New Roman" w:cs="Times New Roman"/>
          <w:sz w:val="24"/>
          <w:szCs w:val="24"/>
        </w:rPr>
        <w:t xml:space="preserve"> al respecto el célebre </w:t>
      </w:r>
      <w:r>
        <w:rPr>
          <w:rFonts w:ascii="Times New Roman" w:eastAsia="Calibri" w:hAnsi="Times New Roman" w:cs="Times New Roman"/>
          <w:i/>
          <w:sz w:val="24"/>
          <w:szCs w:val="24"/>
        </w:rPr>
        <w:t>caso Melloni</w:t>
      </w:r>
      <w:r w:rsidR="00C7376F">
        <w:rPr>
          <w:rFonts w:ascii="Times New Roman" w:eastAsia="Calibri" w:hAnsi="Times New Roman" w:cs="Times New Roman"/>
          <w:sz w:val="24"/>
          <w:szCs w:val="24"/>
        </w:rPr>
        <w:t>, objeto de un amplísimo debate doctrinal</w:t>
      </w:r>
      <w:r>
        <w:rPr>
          <w:rFonts w:ascii="Times New Roman" w:eastAsia="Calibri" w:hAnsi="Times New Roman" w:cs="Times New Roman"/>
          <w:sz w:val="24"/>
          <w:szCs w:val="24"/>
        </w:rPr>
        <w:t xml:space="preserve">. </w:t>
      </w:r>
      <w:r w:rsidR="00072B25">
        <w:rPr>
          <w:rFonts w:ascii="Times New Roman" w:eastAsia="Calibri" w:hAnsi="Times New Roman" w:cs="Times New Roman"/>
          <w:sz w:val="24"/>
          <w:szCs w:val="24"/>
        </w:rPr>
        <w:t xml:space="preserve">Es esta una cuestión </w:t>
      </w:r>
      <w:r w:rsidR="00C7376F">
        <w:rPr>
          <w:rFonts w:ascii="Times New Roman" w:eastAsia="Calibri" w:hAnsi="Times New Roman" w:cs="Times New Roman"/>
          <w:sz w:val="24"/>
          <w:szCs w:val="24"/>
        </w:rPr>
        <w:t xml:space="preserve">de suma </w:t>
      </w:r>
      <w:r w:rsidR="00072B25">
        <w:rPr>
          <w:rFonts w:ascii="Times New Roman" w:eastAsia="Calibri" w:hAnsi="Times New Roman" w:cs="Times New Roman"/>
          <w:sz w:val="24"/>
          <w:szCs w:val="24"/>
        </w:rPr>
        <w:t>importan</w:t>
      </w:r>
      <w:r w:rsidR="00C7376F">
        <w:rPr>
          <w:rFonts w:ascii="Times New Roman" w:eastAsia="Calibri" w:hAnsi="Times New Roman" w:cs="Times New Roman"/>
          <w:sz w:val="24"/>
          <w:szCs w:val="24"/>
        </w:rPr>
        <w:t>c</w:t>
      </w:r>
      <w:r w:rsidR="00072B25">
        <w:rPr>
          <w:rFonts w:ascii="Times New Roman" w:eastAsia="Calibri" w:hAnsi="Times New Roman" w:cs="Times New Roman"/>
          <w:sz w:val="24"/>
          <w:szCs w:val="24"/>
        </w:rPr>
        <w:t>i</w:t>
      </w:r>
      <w:r w:rsidR="00C7376F">
        <w:rPr>
          <w:rFonts w:ascii="Times New Roman" w:eastAsia="Calibri" w:hAnsi="Times New Roman" w:cs="Times New Roman"/>
          <w:sz w:val="24"/>
          <w:szCs w:val="24"/>
        </w:rPr>
        <w:t>a, a</w:t>
      </w:r>
      <w:r w:rsidR="00072B25">
        <w:rPr>
          <w:rFonts w:ascii="Times New Roman" w:eastAsia="Calibri" w:hAnsi="Times New Roman" w:cs="Times New Roman"/>
          <w:sz w:val="24"/>
          <w:szCs w:val="24"/>
        </w:rPr>
        <w:t xml:space="preserve">cerca de la cual deseo formular también mi opinión en este solemne acto académico. </w:t>
      </w:r>
      <w:r w:rsidR="00072B25">
        <w:rPr>
          <w:rFonts w:ascii="Times New Roman" w:hAnsi="Times New Roman" w:cs="Times New Roman"/>
          <w:sz w:val="24"/>
          <w:szCs w:val="24"/>
        </w:rPr>
        <w:t xml:space="preserve">   </w:t>
      </w:r>
      <w:r w:rsidR="000F5873">
        <w:rPr>
          <w:rFonts w:ascii="Times New Roman" w:hAnsi="Times New Roman" w:cs="Times New Roman"/>
          <w:sz w:val="24"/>
          <w:szCs w:val="24"/>
        </w:rPr>
        <w:t>Como resulta harto conocido,</w:t>
      </w:r>
      <w:r w:rsidR="00072B25">
        <w:rPr>
          <w:rFonts w:ascii="Times New Roman" w:hAnsi="Times New Roman" w:cs="Times New Roman"/>
          <w:sz w:val="24"/>
          <w:szCs w:val="24"/>
        </w:rPr>
        <w:t xml:space="preserve"> el artículo 10.2 CE  --uno de los preceptos que configuran la apertura  de nuestro ordenamiento al Derecho Internacional--  establece que “Las normas relativas a los derechos fundamentales y a las libertades que la Constitución reconoce </w:t>
      </w:r>
      <w:r w:rsidR="00072B25" w:rsidRPr="008B7205">
        <w:rPr>
          <w:rFonts w:ascii="Times New Roman" w:hAnsi="Times New Roman" w:cs="Times New Roman"/>
          <w:i/>
          <w:sz w:val="24"/>
          <w:szCs w:val="24"/>
        </w:rPr>
        <w:t>se interpretarán de conformidad</w:t>
      </w:r>
      <w:r w:rsidR="00072B25">
        <w:rPr>
          <w:rFonts w:ascii="Times New Roman" w:hAnsi="Times New Roman" w:cs="Times New Roman"/>
          <w:sz w:val="24"/>
          <w:szCs w:val="24"/>
        </w:rPr>
        <w:t xml:space="preserve"> con la Declaración Universal de Derechos Humanos y los tratados y acuerdos internacionales sobre las mismas materias ratificados por España”.  Pues bien, la remisión hermenéutica que en materia de derechos fundamentales efectúa la Carta Magna debe utilizarse con la cautela que exige la normatividad constitucional y la supremacía del poder constituyente. En la STC 64/1991 (FJ 4 a]) se deja bien sentado que la “interpretación” a que alude el artículo 10.2 CE no convierte a los tratados internacionales “en canon autónomo de validez de las normas y actos de los poderes públicos desde la perspectiva de los derechos fundamentales. Si así fuera, sobraría la proclamación constitucional de tales derechos”. Por tanto, la validez mencionada debe medirse sólo por referencia a los preceptos constitucionales que reconocen los derechos y libertades fundamentales, siendo los textos y acuerdos </w:t>
      </w:r>
      <w:r w:rsidR="00072B25">
        <w:rPr>
          <w:rFonts w:ascii="Times New Roman" w:hAnsi="Times New Roman" w:cs="Times New Roman"/>
          <w:sz w:val="24"/>
          <w:szCs w:val="24"/>
        </w:rPr>
        <w:lastRenderedPageBreak/>
        <w:t>internacionales del artículo 10.2  “una fuente interpretativa que contribuye a la mejor identificación del contenido de los derechos cuya tutela se pide a este Tribunal Constitucional”.</w:t>
      </w:r>
    </w:p>
    <w:p w:rsidR="000F5873" w:rsidRDefault="000F5873" w:rsidP="000F5873">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     Resulta, </w:t>
      </w:r>
      <w:r w:rsidR="00727A20">
        <w:rPr>
          <w:rFonts w:ascii="Times New Roman" w:hAnsi="Times New Roman" w:cs="Times New Roman"/>
          <w:sz w:val="24"/>
          <w:szCs w:val="24"/>
        </w:rPr>
        <w:t>pues</w:t>
      </w:r>
      <w:r>
        <w:rPr>
          <w:rFonts w:ascii="Times New Roman" w:hAnsi="Times New Roman" w:cs="Times New Roman"/>
          <w:sz w:val="24"/>
          <w:szCs w:val="24"/>
        </w:rPr>
        <w:t>, que</w:t>
      </w:r>
      <w:r w:rsidRPr="000F5873">
        <w:rPr>
          <w:rFonts w:ascii="Times New Roman" w:eastAsia="Calibri" w:hAnsi="Times New Roman" w:cs="Times New Roman"/>
          <w:sz w:val="24"/>
          <w:szCs w:val="24"/>
        </w:rPr>
        <w:t xml:space="preserve"> la correcta comprensión del artículo 10.2 requiere distinguir entre la fuente normativa  --únicamente la Constitución misma--  y la fuente hermenéutica de los derechos. Consiguientemente, debe quedar claro que la afectación de la interpretación internacional al parámetro aplicable en el proceso de amparo constitucional jamás deja de ser una afectación de carácter hermenéutico. El parámetro normativo sigue siendo la propia Constitución, es decir, los derechos y libertades que ella proclama y para cuya tutela privilegiada ha instituido el recurso de amparo. No se niega con tal observación la importancia de la fuente hermenéutica internacional o supranacional de los derechos, pero se pretende destacar que su utilización por mandato del artículo 10.2 nunca podría oponerse al tenor literal de los preceptos constitucionales que los contienen  (así, pues, </w:t>
      </w:r>
      <w:r w:rsidRPr="000F5873">
        <w:rPr>
          <w:rFonts w:ascii="Times New Roman" w:eastAsia="Calibri" w:hAnsi="Times New Roman" w:cs="Times New Roman"/>
          <w:i/>
          <w:sz w:val="24"/>
          <w:szCs w:val="24"/>
        </w:rPr>
        <w:t>in claris non fit interpretatio</w:t>
      </w:r>
      <w:r w:rsidRPr="000F5873">
        <w:rPr>
          <w:rFonts w:ascii="Times New Roman" w:eastAsia="Calibri" w:hAnsi="Times New Roman" w:cs="Times New Roman"/>
          <w:sz w:val="24"/>
          <w:szCs w:val="24"/>
        </w:rPr>
        <w:t>) ni eliminar la supremacía del Tribunal Constitucional en su interpretación, ya que a él le compete precisar en último término su contenido, como reitera la STC 136/2001.</w:t>
      </w:r>
    </w:p>
    <w:p w:rsidR="00727A20" w:rsidRDefault="00727A20" w:rsidP="00727A20">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27A20">
        <w:rPr>
          <w:rFonts w:ascii="Times New Roman" w:eastAsia="Calibri" w:hAnsi="Times New Roman" w:cs="Times New Roman"/>
          <w:sz w:val="24"/>
          <w:szCs w:val="24"/>
        </w:rPr>
        <w:t xml:space="preserve">  Ello debe considerarse así incluso en el ámbito de la denominada “interpretación evolutiva” de la Constitución. En la STC 198/2012 (FJ 9) afirma el Tribunal que los tratados a que se refiere el texto constitucional en orden a la exégesis de los derechos fundamentales enunciados en el mismo “se van incorporando paulatina y constantemente a nuestro ordenamiento, a medida que, acordados en el seno de la sociedad internacional, la Unión Europea o el Consejo de Europa, España los ratifica, con lo cual la regla hermenéutica del art. 10.2 CE lleva asociada una regla de interpretación evolutiva…”. Cierto, pero esto en absoluto ha de tomarse como la habilitación de un poder constituyente de carácter hermenéutico, ni, claro está, mucho menos de carácter normativo.</w:t>
      </w:r>
      <w:r w:rsidR="00831A71">
        <w:rPr>
          <w:rFonts w:ascii="Times New Roman" w:eastAsia="Calibri" w:hAnsi="Times New Roman" w:cs="Times New Roman"/>
          <w:sz w:val="24"/>
          <w:szCs w:val="24"/>
        </w:rPr>
        <w:t xml:space="preserve"> </w:t>
      </w:r>
    </w:p>
    <w:p w:rsidR="00831A71" w:rsidRDefault="00831A71" w:rsidP="007F51F6">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En una ocasión le oí decir a un</w:t>
      </w:r>
      <w:r w:rsidR="00581F29">
        <w:rPr>
          <w:rFonts w:ascii="Times New Roman" w:eastAsia="Calibri" w:hAnsi="Times New Roman" w:cs="Times New Roman"/>
          <w:sz w:val="24"/>
          <w:szCs w:val="24"/>
        </w:rPr>
        <w:t xml:space="preserve"> ufano</w:t>
      </w:r>
      <w:r>
        <w:rPr>
          <w:rFonts w:ascii="Times New Roman" w:eastAsia="Calibri" w:hAnsi="Times New Roman" w:cs="Times New Roman"/>
          <w:sz w:val="24"/>
          <w:szCs w:val="24"/>
        </w:rPr>
        <w:t xml:space="preserve"> ex magistrado del TC que este </w:t>
      </w:r>
      <w:r w:rsidR="00E478A7">
        <w:rPr>
          <w:rFonts w:ascii="Times New Roman" w:eastAsia="Calibri" w:hAnsi="Times New Roman" w:cs="Times New Roman"/>
          <w:sz w:val="24"/>
          <w:szCs w:val="24"/>
        </w:rPr>
        <w:t xml:space="preserve">órgano jurisdiccional </w:t>
      </w:r>
      <w:r>
        <w:rPr>
          <w:rFonts w:ascii="Times New Roman" w:eastAsia="Calibri" w:hAnsi="Times New Roman" w:cs="Times New Roman"/>
          <w:sz w:val="24"/>
          <w:szCs w:val="24"/>
        </w:rPr>
        <w:t>representaba el elemento aristocrático del sistema constitucional. Pero se trata, con toda evidencia, de un craso error</w:t>
      </w:r>
      <w:r w:rsidR="00952F8D">
        <w:rPr>
          <w:rFonts w:ascii="Times New Roman" w:eastAsia="Calibri" w:hAnsi="Times New Roman" w:cs="Times New Roman"/>
          <w:sz w:val="24"/>
          <w:szCs w:val="24"/>
        </w:rPr>
        <w:t xml:space="preserve"> taxonómico</w:t>
      </w:r>
      <w:r>
        <w:rPr>
          <w:rFonts w:ascii="Times New Roman" w:eastAsia="Calibri" w:hAnsi="Times New Roman" w:cs="Times New Roman"/>
          <w:sz w:val="24"/>
          <w:szCs w:val="24"/>
        </w:rPr>
        <w:t>, aunque políticamente muy  significativo de las aspiraciones de dominio propias de una casta de brujos-juristas. Ahora bien, este regreso desiderativo a la doctrina del Estado mixto, inconscientemente resucitada</w:t>
      </w:r>
      <w:r w:rsidR="00952F8D">
        <w:rPr>
          <w:rFonts w:ascii="Times New Roman" w:eastAsia="Calibri" w:hAnsi="Times New Roman" w:cs="Times New Roman"/>
          <w:sz w:val="24"/>
          <w:szCs w:val="24"/>
        </w:rPr>
        <w:t>, da cuenta de un fenómeno perfectamente acreditado. Como escribe Jonathan Sumption</w:t>
      </w:r>
      <w:r w:rsidR="00B70BD8">
        <w:rPr>
          <w:rFonts w:ascii="Times New Roman" w:eastAsia="Calibri" w:hAnsi="Times New Roman" w:cs="Times New Roman"/>
          <w:sz w:val="24"/>
          <w:szCs w:val="24"/>
        </w:rPr>
        <w:t xml:space="preserve"> (</w:t>
      </w:r>
      <w:r w:rsidR="00B70BD8">
        <w:rPr>
          <w:rFonts w:ascii="Times New Roman" w:eastAsia="Calibri" w:hAnsi="Times New Roman" w:cs="Times New Roman"/>
          <w:i/>
          <w:sz w:val="24"/>
          <w:szCs w:val="24"/>
        </w:rPr>
        <w:t>Juicios de Estado. La Ley y la decadencia de la política”</w:t>
      </w:r>
      <w:r w:rsidR="00656577">
        <w:rPr>
          <w:rFonts w:ascii="Times New Roman" w:eastAsia="Calibri" w:hAnsi="Times New Roman" w:cs="Times New Roman"/>
          <w:sz w:val="24"/>
          <w:szCs w:val="24"/>
        </w:rPr>
        <w:t>,</w:t>
      </w:r>
      <w:r w:rsidR="00B70BD8">
        <w:rPr>
          <w:rFonts w:ascii="Times New Roman" w:eastAsia="Calibri" w:hAnsi="Times New Roman" w:cs="Times New Roman"/>
          <w:sz w:val="24"/>
          <w:szCs w:val="24"/>
        </w:rPr>
        <w:t xml:space="preserve"> 2019)</w:t>
      </w:r>
      <w:r w:rsidR="00952F8D">
        <w:rPr>
          <w:rFonts w:ascii="Times New Roman" w:eastAsia="Calibri" w:hAnsi="Times New Roman" w:cs="Times New Roman"/>
          <w:sz w:val="24"/>
          <w:szCs w:val="24"/>
        </w:rPr>
        <w:t>, en las tres últimas décadas</w:t>
      </w:r>
      <w:r w:rsidR="00F63139">
        <w:rPr>
          <w:rFonts w:ascii="Times New Roman" w:eastAsia="Calibri" w:hAnsi="Times New Roman" w:cs="Times New Roman"/>
          <w:sz w:val="24"/>
          <w:szCs w:val="24"/>
        </w:rPr>
        <w:t xml:space="preserve"> los tribunales han acabado compartiendo </w:t>
      </w:r>
      <w:r>
        <w:rPr>
          <w:rFonts w:ascii="Times New Roman" w:eastAsia="Calibri" w:hAnsi="Times New Roman" w:cs="Times New Roman"/>
          <w:sz w:val="24"/>
          <w:szCs w:val="24"/>
        </w:rPr>
        <w:t xml:space="preserve">  </w:t>
      </w:r>
      <w:r w:rsidR="00F63139">
        <w:rPr>
          <w:rFonts w:ascii="Times New Roman" w:hAnsi="Times New Roman" w:cs="Times New Roman"/>
          <w:sz w:val="24"/>
          <w:szCs w:val="24"/>
        </w:rPr>
        <w:t xml:space="preserve">la desconfianza generalizada </w:t>
      </w:r>
      <w:r w:rsidR="00F63139">
        <w:rPr>
          <w:rFonts w:ascii="Times New Roman" w:hAnsi="Times New Roman" w:cs="Times New Roman"/>
          <w:sz w:val="24"/>
          <w:szCs w:val="24"/>
        </w:rPr>
        <w:lastRenderedPageBreak/>
        <w:t>en el proceso político y en el razonamiento político como elementos para la toma de decisiones públicas y han desarrollado un concepto más amplio del imperio de la ley, incrementando así considerablemente su papel constitucional. Ello ha tenido lugar también en Gran Bretaña y se ha visto potenciado en los demás países del Consejo de Europa por el activismo judicial del Tribunal de Estrasburgo, el cual  ha aumentado de tal manera el contenido del Convenio Europeo de Derechos Humanos de 1950 al</w:t>
      </w:r>
      <w:r w:rsidR="007F51F6">
        <w:rPr>
          <w:rFonts w:ascii="Times New Roman" w:hAnsi="Times New Roman" w:cs="Times New Roman"/>
          <w:sz w:val="24"/>
          <w:szCs w:val="24"/>
        </w:rPr>
        <w:t xml:space="preserve"> margen de lo acordado por los Estados que lo suscribieron, que realmente es un órgano jurisdiccional que legisla.</w:t>
      </w:r>
      <w:r w:rsidR="007A0FEA">
        <w:rPr>
          <w:rFonts w:ascii="Times New Roman" w:hAnsi="Times New Roman" w:cs="Times New Roman"/>
          <w:sz w:val="24"/>
          <w:szCs w:val="24"/>
        </w:rPr>
        <w:t xml:space="preserve"> </w:t>
      </w:r>
      <w:r w:rsidR="00102F71">
        <w:rPr>
          <w:rFonts w:ascii="Times New Roman" w:hAnsi="Times New Roman" w:cs="Times New Roman"/>
          <w:sz w:val="24"/>
          <w:szCs w:val="24"/>
        </w:rPr>
        <w:t>Cabe añadir que o</w:t>
      </w:r>
      <w:r w:rsidR="007A0FEA">
        <w:rPr>
          <w:rFonts w:ascii="Times New Roman" w:hAnsi="Times New Roman" w:cs="Times New Roman"/>
          <w:sz w:val="24"/>
          <w:szCs w:val="24"/>
        </w:rPr>
        <w:t>tro tanto se puede afirmar del Tribunal de Justicia de la Unión Europea, que</w:t>
      </w:r>
      <w:r w:rsidR="00102F71">
        <w:rPr>
          <w:rFonts w:ascii="Times New Roman" w:hAnsi="Times New Roman" w:cs="Times New Roman"/>
          <w:sz w:val="24"/>
          <w:szCs w:val="24"/>
        </w:rPr>
        <w:t xml:space="preserve">, </w:t>
      </w:r>
      <w:r w:rsidR="000B3F06">
        <w:rPr>
          <w:rFonts w:ascii="Times New Roman" w:hAnsi="Times New Roman" w:cs="Times New Roman"/>
          <w:sz w:val="24"/>
          <w:szCs w:val="24"/>
        </w:rPr>
        <w:t xml:space="preserve">sobre todo </w:t>
      </w:r>
      <w:r w:rsidR="00102F71">
        <w:rPr>
          <w:rFonts w:ascii="Times New Roman" w:hAnsi="Times New Roman" w:cs="Times New Roman"/>
          <w:sz w:val="24"/>
          <w:szCs w:val="24"/>
        </w:rPr>
        <w:t>tras la Carta de Derechos Fundamentales de 2000</w:t>
      </w:r>
      <w:r w:rsidR="000B3F06">
        <w:rPr>
          <w:rFonts w:ascii="Times New Roman" w:hAnsi="Times New Roman" w:cs="Times New Roman"/>
          <w:sz w:val="24"/>
          <w:szCs w:val="24"/>
        </w:rPr>
        <w:t>/2007</w:t>
      </w:r>
      <w:r w:rsidR="00102F71">
        <w:rPr>
          <w:rFonts w:ascii="Times New Roman" w:hAnsi="Times New Roman" w:cs="Times New Roman"/>
          <w:sz w:val="24"/>
          <w:szCs w:val="24"/>
        </w:rPr>
        <w:t>,</w:t>
      </w:r>
      <w:r w:rsidR="007A0FEA">
        <w:rPr>
          <w:rFonts w:ascii="Times New Roman" w:hAnsi="Times New Roman" w:cs="Times New Roman"/>
          <w:sz w:val="24"/>
          <w:szCs w:val="24"/>
        </w:rPr>
        <w:t xml:space="preserve"> ha emprendido decididamente el camino de la soberanía</w:t>
      </w:r>
      <w:r w:rsidR="00102F71">
        <w:rPr>
          <w:rFonts w:ascii="Times New Roman" w:hAnsi="Times New Roman" w:cs="Times New Roman"/>
          <w:sz w:val="24"/>
          <w:szCs w:val="24"/>
        </w:rPr>
        <w:t xml:space="preserve">, iniciado </w:t>
      </w:r>
      <w:r w:rsidR="00102F71">
        <w:rPr>
          <w:rFonts w:ascii="Times New Roman" w:hAnsi="Times New Roman" w:cs="Times New Roman"/>
          <w:i/>
          <w:sz w:val="24"/>
          <w:szCs w:val="24"/>
        </w:rPr>
        <w:t>in nuce</w:t>
      </w:r>
      <w:r w:rsidR="00102F71">
        <w:rPr>
          <w:rFonts w:ascii="Times New Roman" w:hAnsi="Times New Roman" w:cs="Times New Roman"/>
          <w:sz w:val="24"/>
          <w:szCs w:val="24"/>
        </w:rPr>
        <w:t xml:space="preserve"> en</w:t>
      </w:r>
      <w:r w:rsidR="000B3F06">
        <w:rPr>
          <w:rFonts w:ascii="Times New Roman" w:hAnsi="Times New Roman" w:cs="Times New Roman"/>
          <w:sz w:val="24"/>
          <w:szCs w:val="24"/>
        </w:rPr>
        <w:t xml:space="preserve"> el caso</w:t>
      </w:r>
      <w:bookmarkStart w:id="0" w:name="_GoBack"/>
      <w:bookmarkEnd w:id="0"/>
      <w:r w:rsidR="00102F71">
        <w:rPr>
          <w:rFonts w:ascii="Times New Roman" w:hAnsi="Times New Roman" w:cs="Times New Roman"/>
          <w:sz w:val="24"/>
          <w:szCs w:val="24"/>
        </w:rPr>
        <w:t xml:space="preserve"> </w:t>
      </w:r>
      <w:r w:rsidR="00102F71">
        <w:rPr>
          <w:rFonts w:ascii="Times New Roman" w:hAnsi="Times New Roman" w:cs="Times New Roman"/>
          <w:i/>
          <w:sz w:val="24"/>
          <w:szCs w:val="24"/>
        </w:rPr>
        <w:t>Costa/Enel</w:t>
      </w:r>
      <w:r w:rsidR="00102F71">
        <w:rPr>
          <w:rFonts w:ascii="Times New Roman" w:hAnsi="Times New Roman" w:cs="Times New Roman"/>
          <w:sz w:val="24"/>
          <w:szCs w:val="24"/>
        </w:rPr>
        <w:t>, en el lejano 1964</w:t>
      </w:r>
      <w:r w:rsidR="007A0FEA">
        <w:rPr>
          <w:rFonts w:ascii="Times New Roman" w:hAnsi="Times New Roman" w:cs="Times New Roman"/>
          <w:sz w:val="24"/>
          <w:szCs w:val="24"/>
        </w:rPr>
        <w:t>. Sumption concluye afirmando que “si en algún momento llegara el fin de la democracia, no nos daríamos cuenta</w:t>
      </w:r>
      <w:r w:rsidR="009B5A00">
        <w:rPr>
          <w:rFonts w:ascii="Times New Roman" w:hAnsi="Times New Roman" w:cs="Times New Roman"/>
          <w:sz w:val="24"/>
          <w:szCs w:val="24"/>
        </w:rPr>
        <w:t>.</w:t>
      </w:r>
      <w:r w:rsidR="005F58B5">
        <w:rPr>
          <w:rFonts w:ascii="Times New Roman" w:hAnsi="Times New Roman" w:cs="Times New Roman"/>
          <w:sz w:val="24"/>
          <w:szCs w:val="24"/>
        </w:rPr>
        <w:t xml:space="preserve"> Las democracias avanzadas no se derrocan… Las instituciones sufren un drenaje imperceptible de todo lo que con anterioridad las hacía democráticas. Las etiquetas seguirán ahí, pero ya no describirán los contenidos. La fachada continuará en pie, pero sin nada detrás. La retórica de la democracia permanecerá inalterada, pero carecerá de significado. Y la culpa será nuestra”.</w:t>
      </w:r>
    </w:p>
    <w:p w:rsidR="00EB5E42" w:rsidRDefault="00EB5E42" w:rsidP="007F51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Este final desencantado de Sumption es, en el discurso de Villaverde, un final </w:t>
      </w:r>
      <w:r w:rsidR="000B3F06">
        <w:rPr>
          <w:rFonts w:ascii="Times New Roman" w:hAnsi="Times New Roman" w:cs="Times New Roman"/>
          <w:sz w:val="24"/>
          <w:szCs w:val="24"/>
        </w:rPr>
        <w:t>prospectivo y abierto</w:t>
      </w:r>
      <w:r>
        <w:rPr>
          <w:rFonts w:ascii="Times New Roman" w:hAnsi="Times New Roman" w:cs="Times New Roman"/>
          <w:sz w:val="24"/>
          <w:szCs w:val="24"/>
        </w:rPr>
        <w:t>. Parece indudable que los europeos nos hallamos en una fase de transición caracterizada, según Requejo Pagés, por la contradicción insuperable</w:t>
      </w:r>
      <w:r w:rsidR="00C71FB0">
        <w:rPr>
          <w:rFonts w:ascii="Times New Roman" w:hAnsi="Times New Roman" w:cs="Times New Roman"/>
          <w:sz w:val="24"/>
          <w:szCs w:val="24"/>
        </w:rPr>
        <w:t xml:space="preserve"> entre la supremacía constitucional y la primacía del Derecho europeo sobre el de los Estados miembros, que es una lucha hobbesiana por la soberanía (</w:t>
      </w:r>
      <w:r w:rsidR="00C71FB0">
        <w:rPr>
          <w:rFonts w:ascii="Times New Roman" w:hAnsi="Times New Roman" w:cs="Times New Roman"/>
          <w:i/>
          <w:sz w:val="24"/>
          <w:szCs w:val="24"/>
        </w:rPr>
        <w:t>El futuro de un vértice jurisdiccional cada vez más complejo</w:t>
      </w:r>
      <w:r w:rsidR="00C71FB0">
        <w:rPr>
          <w:rFonts w:ascii="Times New Roman" w:hAnsi="Times New Roman" w:cs="Times New Roman"/>
          <w:sz w:val="24"/>
          <w:szCs w:val="24"/>
        </w:rPr>
        <w:t>, “Anuario de la Facultad de Derecho de la Universidad Autónoma de Madrid”, núm. 22, 2018).</w:t>
      </w:r>
      <w:r w:rsidR="00F060F6">
        <w:rPr>
          <w:rFonts w:ascii="Times New Roman" w:hAnsi="Times New Roman" w:cs="Times New Roman"/>
          <w:sz w:val="24"/>
          <w:szCs w:val="24"/>
        </w:rPr>
        <w:t xml:space="preserve"> No creo</w:t>
      </w:r>
      <w:r w:rsidR="0069781D">
        <w:rPr>
          <w:rFonts w:ascii="Times New Roman" w:hAnsi="Times New Roman" w:cs="Times New Roman"/>
          <w:sz w:val="24"/>
          <w:szCs w:val="24"/>
        </w:rPr>
        <w:t>, sin embargo,</w:t>
      </w:r>
      <w:r w:rsidR="00F060F6">
        <w:rPr>
          <w:rFonts w:ascii="Times New Roman" w:hAnsi="Times New Roman" w:cs="Times New Roman"/>
          <w:sz w:val="24"/>
          <w:szCs w:val="24"/>
        </w:rPr>
        <w:t xml:space="preserve"> que la Constitución </w:t>
      </w:r>
      <w:r w:rsidR="002F75F7">
        <w:rPr>
          <w:rFonts w:ascii="Times New Roman" w:hAnsi="Times New Roman" w:cs="Times New Roman"/>
          <w:sz w:val="24"/>
          <w:szCs w:val="24"/>
        </w:rPr>
        <w:t>vaya a quedar como una mera norma de resolución de conflictos entre fuentes del Derecho</w:t>
      </w:r>
      <w:r w:rsidR="00DC3B41">
        <w:rPr>
          <w:rFonts w:ascii="Times New Roman" w:hAnsi="Times New Roman" w:cs="Times New Roman"/>
          <w:sz w:val="24"/>
          <w:szCs w:val="24"/>
        </w:rPr>
        <w:t>, ni puedo aceptar, para explicar la “prevalencia” del ordenamiento europeo sobre el nacional, la dualidad entre normas formal y materialmente constitucionales, como hace Juan Luis Requejo en diversos estudios</w:t>
      </w:r>
      <w:r w:rsidR="002F75F7">
        <w:rPr>
          <w:rFonts w:ascii="Times New Roman" w:hAnsi="Times New Roman" w:cs="Times New Roman"/>
          <w:sz w:val="24"/>
          <w:szCs w:val="24"/>
        </w:rPr>
        <w:t xml:space="preserve">. </w:t>
      </w:r>
      <w:r w:rsidR="0069781D">
        <w:rPr>
          <w:rFonts w:ascii="Times New Roman" w:hAnsi="Times New Roman" w:cs="Times New Roman"/>
          <w:sz w:val="24"/>
          <w:szCs w:val="24"/>
        </w:rPr>
        <w:t>A mi juicio, a</w:t>
      </w:r>
      <w:r w:rsidR="002F75F7">
        <w:rPr>
          <w:rFonts w:ascii="Times New Roman" w:hAnsi="Times New Roman" w:cs="Times New Roman"/>
          <w:sz w:val="24"/>
          <w:szCs w:val="24"/>
        </w:rPr>
        <w:t>llí donde finalmente acabe por decantarse la soberanía estará la Constitución en sentido formal, con su propio sistema de mitos.</w:t>
      </w:r>
      <w:r w:rsidR="00DC3B41">
        <w:rPr>
          <w:rFonts w:ascii="Times New Roman" w:hAnsi="Times New Roman" w:cs="Times New Roman"/>
          <w:sz w:val="24"/>
          <w:szCs w:val="24"/>
        </w:rPr>
        <w:t xml:space="preserve"> Y todas las disposiciones formalmente constitucionales de una Constitución normativa son a la vez, y en exclusiva, materialmente constitucionales</w:t>
      </w:r>
      <w:r w:rsidR="00782516">
        <w:rPr>
          <w:rFonts w:ascii="Times New Roman" w:hAnsi="Times New Roman" w:cs="Times New Roman"/>
          <w:sz w:val="24"/>
          <w:szCs w:val="24"/>
        </w:rPr>
        <w:t>, sin que, por definición, pueda haber otras de ese carácter</w:t>
      </w:r>
      <w:r w:rsidR="00DC3B41">
        <w:rPr>
          <w:rFonts w:ascii="Times New Roman" w:hAnsi="Times New Roman" w:cs="Times New Roman"/>
          <w:sz w:val="24"/>
          <w:szCs w:val="24"/>
        </w:rPr>
        <w:t>.</w:t>
      </w:r>
      <w:r w:rsidR="00A8662A">
        <w:rPr>
          <w:rFonts w:ascii="Times New Roman" w:hAnsi="Times New Roman" w:cs="Times New Roman"/>
          <w:sz w:val="24"/>
          <w:szCs w:val="24"/>
        </w:rPr>
        <w:t xml:space="preserve"> La Unión Europea puede calificarse, como quiere Requejo, de “proto-Estado”</w:t>
      </w:r>
      <w:r w:rsidR="00582009">
        <w:rPr>
          <w:rFonts w:ascii="Times New Roman" w:hAnsi="Times New Roman" w:cs="Times New Roman"/>
          <w:sz w:val="24"/>
          <w:szCs w:val="24"/>
        </w:rPr>
        <w:t xml:space="preserve"> (</w:t>
      </w:r>
      <w:r w:rsidR="00582009">
        <w:rPr>
          <w:rFonts w:ascii="Times New Roman" w:hAnsi="Times New Roman" w:cs="Times New Roman"/>
          <w:i/>
          <w:sz w:val="24"/>
          <w:szCs w:val="24"/>
        </w:rPr>
        <w:t xml:space="preserve">Un </w:t>
      </w:r>
      <w:r w:rsidR="00582009">
        <w:rPr>
          <w:rFonts w:ascii="Times New Roman" w:hAnsi="Times New Roman" w:cs="Times New Roman"/>
          <w:i/>
          <w:sz w:val="24"/>
          <w:szCs w:val="24"/>
        </w:rPr>
        <w:lastRenderedPageBreak/>
        <w:t>Tribunal constituyente</w:t>
      </w:r>
      <w:r w:rsidR="00582009">
        <w:rPr>
          <w:rFonts w:ascii="Times New Roman" w:hAnsi="Times New Roman" w:cs="Times New Roman"/>
          <w:sz w:val="24"/>
          <w:szCs w:val="24"/>
        </w:rPr>
        <w:t>, “Revista Jurídica de Asturias”, núm. 46/2023, pp.191-201)</w:t>
      </w:r>
      <w:r w:rsidR="00A8662A">
        <w:rPr>
          <w:rFonts w:ascii="Times New Roman" w:hAnsi="Times New Roman" w:cs="Times New Roman"/>
          <w:sz w:val="24"/>
          <w:szCs w:val="24"/>
        </w:rPr>
        <w:t>, pero ello supone precisamente que todavía no es un Estado, pues le falta el elemento de la autorreferencialidad de su ordenamiento</w:t>
      </w:r>
      <w:r w:rsidR="00582009">
        <w:rPr>
          <w:rFonts w:ascii="Times New Roman" w:hAnsi="Times New Roman" w:cs="Times New Roman"/>
          <w:sz w:val="24"/>
          <w:szCs w:val="24"/>
        </w:rPr>
        <w:t>.</w:t>
      </w:r>
      <w:r w:rsidR="00A8662A">
        <w:rPr>
          <w:rFonts w:ascii="Times New Roman" w:hAnsi="Times New Roman" w:cs="Times New Roman"/>
          <w:sz w:val="24"/>
          <w:szCs w:val="24"/>
        </w:rPr>
        <w:t xml:space="preserve"> </w:t>
      </w:r>
    </w:p>
    <w:p w:rsidR="002F75F7" w:rsidRPr="00727A20" w:rsidRDefault="002F75F7" w:rsidP="007F51F6">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    Querido Ignacio, enhorabuena por tu ingreso en nuestra Corporación y gracias por tu maravilloso discurso. Espero que represente el inicio de un prolongado magisterio en la Real Academia Asturiana de Jurisprudencia, a la que de todo corazón te doy la bienvenida.</w:t>
      </w:r>
    </w:p>
    <w:p w:rsidR="00727A20" w:rsidRPr="000F5873" w:rsidRDefault="00727A20" w:rsidP="00F63139">
      <w:pPr>
        <w:spacing w:line="360" w:lineRule="auto"/>
        <w:jc w:val="both"/>
        <w:rPr>
          <w:rFonts w:ascii="Times New Roman" w:eastAsia="Calibri" w:hAnsi="Times New Roman" w:cs="Times New Roman"/>
          <w:sz w:val="24"/>
          <w:szCs w:val="24"/>
        </w:rPr>
      </w:pPr>
    </w:p>
    <w:p w:rsidR="000F5873" w:rsidRPr="00694E43" w:rsidRDefault="000F5873" w:rsidP="00072B25">
      <w:pPr>
        <w:spacing w:line="360" w:lineRule="auto"/>
        <w:jc w:val="both"/>
        <w:rPr>
          <w:rFonts w:ascii="Times New Roman" w:eastAsia="Calibri" w:hAnsi="Times New Roman" w:cs="Times New Roman"/>
          <w:sz w:val="24"/>
          <w:szCs w:val="24"/>
        </w:rPr>
      </w:pPr>
    </w:p>
    <w:p w:rsidR="00694E43" w:rsidRPr="00535D84" w:rsidRDefault="00694E43" w:rsidP="00D5618F">
      <w:pPr>
        <w:spacing w:line="360" w:lineRule="auto"/>
        <w:jc w:val="both"/>
        <w:rPr>
          <w:rFonts w:ascii="Calibri" w:eastAsia="Calibri" w:hAnsi="Calibri" w:cs="Times New Roman"/>
        </w:rPr>
      </w:pPr>
    </w:p>
    <w:p w:rsidR="00535D84" w:rsidRPr="008738A4" w:rsidRDefault="00535D84" w:rsidP="00F05269">
      <w:pPr>
        <w:spacing w:line="360" w:lineRule="auto"/>
        <w:jc w:val="both"/>
        <w:rPr>
          <w:rFonts w:ascii="Times New Roman" w:hAnsi="Times New Roman" w:cs="Times New Roman"/>
          <w:sz w:val="24"/>
          <w:szCs w:val="24"/>
        </w:rPr>
      </w:pPr>
    </w:p>
    <w:sectPr w:rsidR="00535D84" w:rsidRPr="008738A4">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AA5" w:rsidRDefault="00262AA5" w:rsidP="008738A4">
      <w:pPr>
        <w:spacing w:after="0" w:line="240" w:lineRule="auto"/>
      </w:pPr>
      <w:r>
        <w:separator/>
      </w:r>
    </w:p>
  </w:endnote>
  <w:endnote w:type="continuationSeparator" w:id="0">
    <w:p w:rsidR="00262AA5" w:rsidRDefault="00262AA5" w:rsidP="00873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5608025"/>
      <w:docPartObj>
        <w:docPartGallery w:val="Page Numbers (Bottom of Page)"/>
        <w:docPartUnique/>
      </w:docPartObj>
    </w:sdtPr>
    <w:sdtEndPr/>
    <w:sdtContent>
      <w:p w:rsidR="008738A4" w:rsidRDefault="008738A4">
        <w:pPr>
          <w:pStyle w:val="Piedepgina"/>
          <w:jc w:val="right"/>
        </w:pPr>
        <w:r>
          <w:fldChar w:fldCharType="begin"/>
        </w:r>
        <w:r>
          <w:instrText>PAGE   \* MERGEFORMAT</w:instrText>
        </w:r>
        <w:r>
          <w:fldChar w:fldCharType="separate"/>
        </w:r>
        <w:r w:rsidR="000B3F06">
          <w:rPr>
            <w:noProof/>
          </w:rPr>
          <w:t>7</w:t>
        </w:r>
        <w:r>
          <w:fldChar w:fldCharType="end"/>
        </w:r>
      </w:p>
    </w:sdtContent>
  </w:sdt>
  <w:p w:rsidR="008738A4" w:rsidRDefault="008738A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AA5" w:rsidRDefault="00262AA5" w:rsidP="008738A4">
      <w:pPr>
        <w:spacing w:after="0" w:line="240" w:lineRule="auto"/>
      </w:pPr>
      <w:r>
        <w:separator/>
      </w:r>
    </w:p>
  </w:footnote>
  <w:footnote w:type="continuationSeparator" w:id="0">
    <w:p w:rsidR="00262AA5" w:rsidRDefault="00262AA5" w:rsidP="008738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634"/>
    <w:rsid w:val="00052D59"/>
    <w:rsid w:val="00055CA3"/>
    <w:rsid w:val="00072B25"/>
    <w:rsid w:val="00085466"/>
    <w:rsid w:val="000B3F06"/>
    <w:rsid w:val="000F5873"/>
    <w:rsid w:val="000F7634"/>
    <w:rsid w:val="00102F71"/>
    <w:rsid w:val="00105A79"/>
    <w:rsid w:val="00165292"/>
    <w:rsid w:val="001B3719"/>
    <w:rsid w:val="001B4E0F"/>
    <w:rsid w:val="001E5E33"/>
    <w:rsid w:val="00237670"/>
    <w:rsid w:val="00262AA5"/>
    <w:rsid w:val="002654E2"/>
    <w:rsid w:val="002A2376"/>
    <w:rsid w:val="002F75F7"/>
    <w:rsid w:val="00307C62"/>
    <w:rsid w:val="0038347E"/>
    <w:rsid w:val="003A0F1E"/>
    <w:rsid w:val="003A594F"/>
    <w:rsid w:val="003C7056"/>
    <w:rsid w:val="00435E2D"/>
    <w:rsid w:val="00467580"/>
    <w:rsid w:val="004B3B87"/>
    <w:rsid w:val="0052512B"/>
    <w:rsid w:val="00525FC0"/>
    <w:rsid w:val="00535D84"/>
    <w:rsid w:val="00581F29"/>
    <w:rsid w:val="00582009"/>
    <w:rsid w:val="005A2676"/>
    <w:rsid w:val="005E0DC8"/>
    <w:rsid w:val="005F58B5"/>
    <w:rsid w:val="00656577"/>
    <w:rsid w:val="00694E43"/>
    <w:rsid w:val="0069781D"/>
    <w:rsid w:val="006C12FD"/>
    <w:rsid w:val="006E1959"/>
    <w:rsid w:val="00710940"/>
    <w:rsid w:val="00727A20"/>
    <w:rsid w:val="007707F3"/>
    <w:rsid w:val="00776992"/>
    <w:rsid w:val="00782516"/>
    <w:rsid w:val="0079507B"/>
    <w:rsid w:val="007A0FEA"/>
    <w:rsid w:val="007C4345"/>
    <w:rsid w:val="007D3CD3"/>
    <w:rsid w:val="007F51F6"/>
    <w:rsid w:val="00821DBA"/>
    <w:rsid w:val="00831A71"/>
    <w:rsid w:val="00841BA0"/>
    <w:rsid w:val="008738A4"/>
    <w:rsid w:val="008D28C7"/>
    <w:rsid w:val="00931E27"/>
    <w:rsid w:val="009344C7"/>
    <w:rsid w:val="00936B8F"/>
    <w:rsid w:val="00952F8D"/>
    <w:rsid w:val="009539EF"/>
    <w:rsid w:val="009B5A00"/>
    <w:rsid w:val="00A4222A"/>
    <w:rsid w:val="00A75F83"/>
    <w:rsid w:val="00A8662A"/>
    <w:rsid w:val="00A91625"/>
    <w:rsid w:val="00A971DD"/>
    <w:rsid w:val="00AD0157"/>
    <w:rsid w:val="00AD65E7"/>
    <w:rsid w:val="00AF3C31"/>
    <w:rsid w:val="00B3365E"/>
    <w:rsid w:val="00B70BD8"/>
    <w:rsid w:val="00BA3B93"/>
    <w:rsid w:val="00C04C7A"/>
    <w:rsid w:val="00C71FB0"/>
    <w:rsid w:val="00C7376F"/>
    <w:rsid w:val="00C74B9A"/>
    <w:rsid w:val="00C86FDC"/>
    <w:rsid w:val="00C911D7"/>
    <w:rsid w:val="00CB34E5"/>
    <w:rsid w:val="00CE3C50"/>
    <w:rsid w:val="00CF5295"/>
    <w:rsid w:val="00D3479B"/>
    <w:rsid w:val="00D5618F"/>
    <w:rsid w:val="00DC3B41"/>
    <w:rsid w:val="00E478A7"/>
    <w:rsid w:val="00EB5E42"/>
    <w:rsid w:val="00EF1345"/>
    <w:rsid w:val="00F042FD"/>
    <w:rsid w:val="00F05269"/>
    <w:rsid w:val="00F060F6"/>
    <w:rsid w:val="00F63139"/>
    <w:rsid w:val="00F96B86"/>
    <w:rsid w:val="00FF57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5C706"/>
  <w15:chartTrackingRefBased/>
  <w15:docId w15:val="{1CADE4C2-6DB1-444F-B113-59047FB23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38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738A4"/>
  </w:style>
  <w:style w:type="paragraph" w:styleId="Piedepgina">
    <w:name w:val="footer"/>
    <w:basedOn w:val="Normal"/>
    <w:link w:val="PiedepginaCar"/>
    <w:uiPriority w:val="99"/>
    <w:unhideWhenUsed/>
    <w:rsid w:val="008738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738A4"/>
  </w:style>
  <w:style w:type="paragraph" w:styleId="Textonotapie">
    <w:name w:val="footnote text"/>
    <w:basedOn w:val="Normal"/>
    <w:link w:val="TextonotapieCar"/>
    <w:uiPriority w:val="99"/>
    <w:unhideWhenUsed/>
    <w:rsid w:val="001B4E0F"/>
    <w:pPr>
      <w:spacing w:after="0" w:line="240" w:lineRule="auto"/>
    </w:pPr>
    <w:rPr>
      <w:sz w:val="20"/>
      <w:szCs w:val="20"/>
    </w:rPr>
  </w:style>
  <w:style w:type="character" w:customStyle="1" w:styleId="TextonotapieCar">
    <w:name w:val="Texto nota pie Car"/>
    <w:basedOn w:val="Fuentedeprrafopredeter"/>
    <w:link w:val="Textonotapie"/>
    <w:uiPriority w:val="99"/>
    <w:rsid w:val="001B4E0F"/>
    <w:rPr>
      <w:sz w:val="20"/>
      <w:szCs w:val="20"/>
    </w:rPr>
  </w:style>
  <w:style w:type="character" w:styleId="Refdenotaalpie">
    <w:name w:val="footnote reference"/>
    <w:basedOn w:val="Fuentedeprrafopredeter"/>
    <w:semiHidden/>
    <w:unhideWhenUsed/>
    <w:rsid w:val="001B4E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7494D-053D-472E-ACE5-FA5112A20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8</Pages>
  <Words>2955</Words>
  <Characters>16255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54</cp:revision>
  <dcterms:created xsi:type="dcterms:W3CDTF">2024-05-22T15:36:00Z</dcterms:created>
  <dcterms:modified xsi:type="dcterms:W3CDTF">2024-05-26T20:46:00Z</dcterms:modified>
</cp:coreProperties>
</file>